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2023_OG V 23 vom 21. Juli 2023</w:t>
      </w:r>
    </w:p>
    <w:p>
      <w:r>
        <w:t>UR Obergericht, 2023-07-21, DE</w:t>
      </w:r>
    </w:p>
    <w:p>
      <w:r>
        <w:rPr>
          <w:b/>
        </w:rPr>
        <w:t xml:space="preserve">Quelle: </w:t>
      </w:r>
      <w:r>
        <w:t>https://mcp.opencaselaw.ch/entscheid/ur_gerichte_2023_OG_V_23</w:t>
      </w:r>
    </w:p>
    <w:p>
      <w:r>
        <w:t>FR: UR_GERICHTE 2023_OG V 23 du 21 juillet 2023</w:t>
      </w:r>
    </w:p>
    <w:p>
      <w:r>
        <w:t>IT: UR_GERICHTE 2023_OG V 23 del 21 luglio 2023</w:t>
      </w:r>
    </w:p>
    <w:p>
      <w:pPr>
        <w:pStyle w:val="Heading2"/>
      </w:pPr>
      <w:r>
        <w:t>Regeste</w:t>
      </w:r>
    </w:p>
    <w:p>
      <w:r>
        <w:t>23_Hilfsenentschädigung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2022 gewährten unentgeltlichen Rechtsverbeiständung – vorläufig aus der Staatskasse eine armenrechtliche Entschädigung von CHF 1'875.00 zugesprochen wurde; - das Bundesgericht mit Urteil vom 25. Mai 2023 (BGer 8C_31/2023) die Beschwerde des Beschwerde- führers in öffentlich-rechtlichen Angelegenheiten guthiess, den Entscheid des Obergerichtes des Kan- tons Uri vom 2. Dezember 2022 aufhob, die Gerichtskosten von CHF 500.00 der Beschwerdegegnerin auferlegt wurden, diese den Rechtsvertreter des Beschwerdeführers für das bundesgerichtliche Ver- fahren mit CHF 2'800.00 zu entschädigen hat, die Sache zur Neuverlegung der Kosten und der Partei- entschädigung des vorangegangenen Verfahrens an das Obergericht des Kantons Uri zurückgewiesen wurde; - im Nachgang zum Entscheid des Bundesgerichts das bisher unter der Nummer OG V 22 14 geführte Verfahren mit Verfügung vom 27. Juni 2023 unter der neuen Nummer OG V 23 23 in das Ge- schäftsprotokoll des Obergerichtes des Kantons Uri (Verwaltungsrechtliche Abteilung) aufgenom- men wurde, gleichzeitig den Parteien mitgeteilt wurde, dass das Gericht über den weiteren Verfah- rensgang/die Sache entscheiden werde; - dem Ausgang des letztinstanzlichen Verfahrens entsprechend der Beschwerdeführer als vollständig obsiegende Partei vor Vorinstanz gilt; - die amtlichen Kosten des Verfahrens vor dem Obergericht, ausmachend CHF 950.00, daher der Be- schwerdegegnerin aufzuerlegen sind (Art. 61 Ingress Bundesgesetz über den Allgemeinen Teil des Sozialversicherungsrechts [ATSG, SR 830.1] i.V.m. Art. 34 Abs. 1 lit. b Verordnung über die Verwal- tungsrechtspflege (VRPV, RB 2.2345); - für das vorliegende Verfahren keine Kosten zu erheben sind, diese als in den amtlichen Kosten des Verfahrens OG V 22 14 mitenthalten zu gelten haben; - dem Beschwerdeführer für das Verfahren vor Obergericht entsprechend dem letztinstanzlichen Ver- fahrensausgang eine Parteientschädigung von CHF 2'750.00 (inklusive Mehrwertsteuer und Ausla- gen; Art. 61 lit. g ATSG, vergleiche Art. 38 VRPV i.V.m. Art. 18 Abs. 1 und 2 und Art. 19 Abs. 1 Ge- richtsgebührenverordnung [GGebV, RB 2.3231] sowie Art. 32 Abs. 1 Gerichtsgebührenreglement</w:t>
      </w:r>
    </w:p>
    <w:p>
      <w:r>
        <w:t>3</w:t>
      </w:r>
    </w:p>
    <w:p>
      <w:r>
        <w:t>(GGebR, RB 2.3232) zulasten der Beschwerdegegnerin (Art. 37 Abs. 3 VRPV) zuzusprechen ist, dieser Betrag der Praxis des Gerichts für Parteientschädigungen an anwaltlich vertretene Parteien bei Ver- waltungsgerichtsbeschwerden mittlerer Komplexität in tatsächlicher und rechtlicher Hinsicht bei vollständigem Obsiegen entspricht.</w:t>
      </w:r>
    </w:p>
    <w:p>
      <w:r>
        <w:t>4</w:t>
      </w:r>
    </w:p>
    <w:p>
      <w:r>
        <w:t>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