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2022_OG V 21 45.</w:t>
      </w:r>
    </w:p>
    <w:p>
      <w:r>
        <w:t>UR Obergericht, DE</w:t>
      </w:r>
    </w:p>
    <w:p>
      <w:r>
        <w:rPr>
          <w:b/>
        </w:rPr>
        <w:t xml:space="preserve">Quelle: </w:t>
      </w:r>
      <w:r>
        <w:t>https://mcp.opencaselaw.ch/entscheid/ur_gerichte_2022_OG_V_21_45.</w:t>
      </w:r>
    </w:p>
    <w:p>
      <w:pPr>
        <w:pStyle w:val="Heading2"/>
      </w:pPr>
      <w:r>
        <w:t>Regeste</w:t>
      </w:r>
    </w:p>
    <w:p>
      <w:r>
        <w:t>IV. Art. 87 Abs. 2 und 3 IVV.</w:t>
      </w:r>
    </w:p>
    <w:p>
      <w:pPr>
        <w:pStyle w:val="Heading2"/>
      </w:pPr>
      <w:r>
        <w:t>Volltext</w:t>
      </w:r>
    </w:p>
    <w:p>
      <w:r>
        <w:t>Uri Obergericht Verwaltungsrechtliche Abteilung 01.01.0000 2022_OG V 21 45.</w:t>
      </w:r>
    </w:p>
    <w:p>
      <w:r>
        <w:t>IV. Art. 87 Abs. 2 und 3 IVV.</w:t>
      </w:r>
    </w:p>
    <w:p>
      <w:r>
        <w:t>Uri Obergericht Verwaltungsrechtliche Abteilung Uri Verwaltungsrechtliche Abteilung Uri Verwaltungsrechtliche Abteilung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