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2019_OG BI 19 vom 24. Mai 2019</w:t>
      </w:r>
    </w:p>
    <w:p>
      <w:r>
        <w:t>UR Obergericht, 2019-05-24, DE</w:t>
      </w:r>
    </w:p>
    <w:p>
      <w:r>
        <w:rPr>
          <w:b/>
        </w:rPr>
        <w:t xml:space="preserve">Quelle: </w:t>
      </w:r>
      <w:r>
        <w:t>https://mcp.opencaselaw.ch/entscheid/ur_gerichte_2019_OG_BI_19</w:t>
      </w:r>
    </w:p>
    <w:p>
      <w:r>
        <w:t>FR: UR_GERICHTE 2019_OG BI 19 du 24 mai 2019</w:t>
      </w:r>
    </w:p>
    <w:p>
      <w:r>
        <w:t>IT: UR_GERICHTE 2019_OG BI 19 del 24 maggio 2019</w:t>
      </w:r>
    </w:p>
    <w:p>
      <w:pPr>
        <w:pStyle w:val="Heading2"/>
      </w:pPr>
      <w:r>
        <w:t>Regeste</w:t>
      </w:r>
    </w:p>
    <w:p>
      <w:r>
        <w:t>2 und BI 19 3. Strafprozessordnung. Art. 30 Abs. 1, Art. 31 StGB. Art. 303 Abs. 2, Art. 426 Abs. 3 lit. a StPO. Ermittlungstätigkeit der Strafbehörden vor Strafantragsstellung. Beizug eines Sachverständigen (Gutachten). Kostentragung.</w:t>
      </w:r>
    </w:p>
    <w:p>
      <w:pPr>
        <w:pStyle w:val="Heading2"/>
      </w:pPr>
      <w:r>
        <w:t>Volltext</w:t>
      </w:r>
    </w:p>
    <w:p>
      <w:r>
        <w:t>Uri Sonstiges Gericht Sonstige Kammer 24.05.2019 2019_OG BI 19 Uri Autre tribunal Autre chambre 24.05.2019 2019_OG BI 19 Uri Altro tribunale Altro camera 24.05.2019 2019_OG BI 19</w:t>
      </w:r>
    </w:p>
    <w:p>
      <w:r>
        <w:t>2 und BI 19 3. Strafprozessordnung. Art. 30 Abs. 1, Art. 31 StGB. Art. 303 Abs. 2, Art. 426 Abs. 3 lit. a StPO. Ermittlungstätigkeit der Strafbehörden vor Strafantragsstellung. Beizug eines Sachverständigen (Gutachten). Kostentragung.</w:t>
      </w:r>
    </w:p>
    <w:p>
      <w:r>
        <w:t>Uri Sonstiges Gericht Sonstige Kammer Uri Autre tribunal Autre chambre Uri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