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2015_OG V 14 84 (Zwischenentscheid) vom 1. Januar 1901</w:t>
      </w:r>
    </w:p>
    <w:p>
      <w:r>
        <w:t>UR Obergericht, 1901-01-01, DE</w:t>
      </w:r>
    </w:p>
    <w:p>
      <w:r>
        <w:rPr>
          <w:b/>
        </w:rPr>
        <w:t xml:space="preserve">Quelle: </w:t>
      </w:r>
      <w:r>
        <w:t>https://mcp.opencaselaw.ch/entscheid/ur_gerichte_2015_OG_V_14_84__Zwischenentscheid_</w:t>
      </w:r>
    </w:p>
    <w:p>
      <w:r>
        <w:t>FR: UR_GERICHTE 2015_OG V 14 84 (Zwischenentscheid) du 1 janvier 1901</w:t>
      </w:r>
    </w:p>
    <w:p>
      <w:r>
        <w:t>IT: UR_GERICHTE 2015_OG V 14 84 (Zwischenentscheid) del 1 gennaio 1901</w:t>
      </w:r>
    </w:p>
    <w:p>
      <w:pPr>
        <w:pStyle w:val="Heading2"/>
      </w:pPr>
      <w:r>
        <w:t>Regeste</w:t>
      </w:r>
    </w:p>
    <w:p>
      <w:r>
        <w:t>Öffentliches Beschaffungswesen. Art. 17 Abs. 2 IVöB. Art. 65 Abs. 2 SubV.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SubV);</w:t>
      </w:r>
    </w:p>
    <w:p>
      <w:r>
        <w:t>- gemäss den Ausschreibungsunterlagen die Lieferung von Blocksteinen unterschiedlicher Abmessungen für die Uferverbauungen nachgefragt wird, vier Abmessungen vorgegeben sind, sich die Gesamtliefermenge auf 30'000 Tonnen beläuft (Besondere Bestimmungen [Teil C], S. 3 Ziff. 133 und S. 5 Ziff. 422; Leistungsverzeichnis [Teil D] S. 6 Ziff. 515.111-116);</w:t>
      </w:r>
    </w:p>
    <w:p>
      <w:r>
        <w:t>- das Bauprogramm der Baumeisterarbeiten in zwei Etappen von November 2014 bis Mai 2016 gegliedert ist (Amtsvariante); die Blocksteinlieferung von Dezember 2014 bis April 2016 dauert (Besondere Bestimmungen S. 7 Ziff. 612-615); die im Leistungsverzeichnis enthaltene Position R515.191 (S. 6) bei der Amtsvariante keine Berücksichtigung findet;</w:t>
      </w:r>
    </w:p>
    <w:p>
      <w:r>
        <w:t>- hier die Baumeisterarbeiten anhand der Amtsvariante ausgeführt werden;</w:t>
      </w:r>
    </w:p>
    <w:p>
      <w:r>
        <w:t>- der von der Beschwerdeführerin unter der Position R515.191 geltend gemachte Abzug von Fr. 100'000.-- für den Gesamtpreis kaum von Bedeutung sein kann;</w:t>
      </w:r>
    </w:p>
    <w:p>
      <w:r>
        <w:t>- sich somit die Beschwerde als wenig erfolgsversprechend darstellt;</w:t>
      </w:r>
    </w:p>
    <w:p>
      <w:r>
        <w:t>- laut der Vorinstanz aber ohne Baubeginn diesen Winter sich das Hochwasserschutzprojekt Urner Talboden als Ganzes mit einer einjährigen Verzögerung fertig stellen liesse;</w:t>
      </w:r>
    </w:p>
    <w:p>
      <w:r>
        <w:t>- das Hochwasserschutzprojekt Urner Talboden etappenweise realisiert wird;</w:t>
      </w:r>
    </w:p>
    <w:p>
      <w:r>
        <w:t>- einem Projekt der vorliegenden Art solches immanent ist;</w:t>
      </w:r>
    </w:p>
    <w:p>
      <w:r>
        <w:t>- dieser Umstand der Dringlichkeit der Beschaffung nicht entgegensteht;</w:t>
      </w:r>
    </w:p>
    <w:p>
      <w:r>
        <w:t>- der Hochwasserschutz so rasch als möglich im Hinblick auf ein mögliches neues Hochwasser gewährleistet sein soll (Entscheid Obergericht des Kantons Uri vom 20.03.2009, OG V 09 7, S. 3);</w:t>
      </w:r>
    </w:p>
    <w:p>
      <w:r>
        <w:t>- damit die Gefahr volkswirtschaftlicher Schäden eingeschränkt werden kann;</w:t>
      </w:r>
    </w:p>
    <w:p>
      <w:r>
        <w:t>- die Interessenlage gegen die Erteilung der aufschiebenden Wirkung spricht;</w:t>
      </w:r>
    </w:p>
    <w:p>
      <w:r>
        <w:t>- nach dem Gesagten das Gesuch um Erteilung der aufschiebenden Wirkung abzuweisen ist;</w:t>
      </w:r>
    </w:p>
    <w:p>
      <w:r>
        <w:t>- über die Verfahrenskosten mit der Hauptsache zu entscheiden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