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SK 15 1. vom 21. Oktober 2015</w:t>
      </w:r>
    </w:p>
    <w:p>
      <w:r>
        <w:t>UR Obergericht, 2015-10-21, DE</w:t>
      </w:r>
    </w:p>
    <w:p>
      <w:r>
        <w:rPr>
          <w:b/>
        </w:rPr>
        <w:t xml:space="preserve">Quelle: </w:t>
      </w:r>
      <w:r>
        <w:t>https://mcp.opencaselaw.ch/entscheid/ur_gerichte_2015_OG_SK_15_1.</w:t>
      </w:r>
    </w:p>
    <w:p>
      <w:r>
        <w:t>FR: UR_GERICHTE 2015_OG SK 15 1. du 21 octobre 2015</w:t>
      </w:r>
    </w:p>
    <w:p>
      <w:r>
        <w:t>IT: UR_GERICHTE 2015_OG SK 15 1. del 21 ottobre 2015</w:t>
      </w:r>
    </w:p>
    <w:p>
      <w:pPr>
        <w:pStyle w:val="Heading2"/>
      </w:pPr>
      <w:r>
        <w:t>Regeste</w:t>
      </w:r>
    </w:p>
    <w:p>
      <w:r>
        <w:t>Schuldbetreibung und Konkurs. Art. 41 Abs. 1bis SchKG.</w:t>
      </w:r>
    </w:p>
    <w:p>
      <w:pPr>
        <w:pStyle w:val="Heading2"/>
      </w:pPr>
      <w:r>
        <w:t>Erwägungen</w:t>
      </w:r>
    </w:p>
    <w:p>
      <w:r>
        <w:rPr>
          <w:b/>
        </w:rPr>
        <w:t>E. 1</w:t>
      </w:r>
    </w:p>
    <w:p>
      <w:r>
        <w:t>StG um eine typische Drittpfandbestellung handelt, da die Pfandsache in der Regel im Zeitpunkt der Einrede gestützt auf Art. 41 Abs. 1bis SchKG nicht mehr dem steuerpflichtigen Veräusserer, sondern einem Dritten, dem neuen Eigentümer des Grundstückes, gehört;</w:t>
      </w:r>
    </w:p>
    <w:p>
      <w:r>
        <w:t>- vorliegend entscheidwesentlich ist, dass das beneficium excussionis realis, das dem Schuldner einer pfandgesicherten Forderung damit gewährt wird, jedoch nicht etwa im öffentlichen Interesse oder zur Wahrung der Interessen von am Schuld- und Pfandverhältnis nicht beteiligten Dritten geschaffen worden ist, ob der Gläubiger sich in erster Linie an das Pfand halten muss oder das Recht oder gar die Pflicht hat, vor der Pfandsicherheit die allgemeine Haftung des Schuldnervermögens in Anspruch zu nehmen, vielmehr eine Frage ist, die nur den Gläubiger, den Schuldner und einen allfälligen Dritteigentümer des Pfandes angeht, wie die Pfandbestellung im Belieben der Beteiligten steht, diese auch frei vereinbaren können, in welchem Verhältnis die Pfandhaftung zur Haftung des Gesamtvermögens des Schuldners stehen soll (BGE 84 III 69);</w:t>
      </w:r>
    </w:p>
    <w:p>
      <w:r>
        <w:t>- wenn das Pfand einem Dritten gehört, der Gläubiger mit diesem bei der Pfandbestellung oder auch später mit oder ohne Zustimmung des Schuldners vereinbaren kann, dass das Pfand bloss subsidiär (nach dem Vermögen des Schuldners) haften soll (BGE a.a.O.);</w:t>
      </w:r>
    </w:p>
    <w:p>
      <w:r>
        <w:t>- aus der Stellungnahme des Beschwerdegegners abgeleitet werden kann, dass er das fragliche gesetzliche Pfandrecht als subsidiär betrachtet und gewillt ist, sich (vorerst) anderweitig aus dem Vermögen des Schuldners befriedigen zu lassen;</w:t>
      </w:r>
    </w:p>
    <w:p>
      <w:r>
        <w:t>- es denn auch kaum den verfassungsmässigen Grundsätzen entsprechen würde, wenn der Staat das Pfandrecht beanspruchen würde, ohne zuvor alles Zumutbare unternommen zu haben, um die Steuerforderung einzutreiben, dabei an die Grundsätze der Gesetzesmässigkeit, der Verhältnismässigkeit sowie der Eigentumsgarantie zu denken ist;</w:t>
      </w:r>
    </w:p>
    <w:p>
      <w:r>
        <w:t>- auch wenn vorliegend das kantonale Recht zur Sicherstellung der Grundstückgewinnsteuer nicht ausdrücklich festhält, dass das gesetzliche Pfandrecht bloss subsidiär ist, dies aus Sinn und Zweck der steuerrechtlichen Bestimmung abgeleitet werden kann, da gemäss Art. 131 StG Schuldner der Grundstückgewinnsteuern ausdrücklich die veräussernde Person ist, es rechtsmissbräuchlich wäre, wenn der Schuldner gestützt auf Art. 41 Abs. 1bis SchKG die Steuerforderung einseitig von sich abwenden könnte um einen Dritten für seine Schulden haften zu lassen;</w:t>
      </w:r>
    </w:p>
    <w:p>
      <w:r>
        <w:t>- demnach vorliegend infolge Bestehens eines Drittpfandverhältnisses und weil das gesetzliche Pfandrecht bloss subsidiär für die Steuerforderung haftet, der Beschwerdeführer sich nicht auf Art. 41 Abs. 1bis SchKG berufen kann;</w:t>
      </w:r>
    </w:p>
    <w:p>
      <w:r>
        <w:t>- Gesagtes erhellt, dass die vorliegende betreibungsrechtliche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