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27 vom 31. August 2012</w:t>
      </w:r>
    </w:p>
    <w:p>
      <w:r>
        <w:t>UR Obergericht, 2012-08-31, DE</w:t>
      </w:r>
    </w:p>
    <w:p>
      <w:r>
        <w:rPr>
          <w:b/>
        </w:rPr>
        <w:t xml:space="preserve">Quelle: </w:t>
      </w:r>
      <w:r>
        <w:t>https://mcp.opencaselaw.ch/entscheid/ur_gerichte_12_13_27</w:t>
      </w:r>
    </w:p>
    <w:p>
      <w:r>
        <w:t>FR: UR_GERICHTE 12/13 27 du 31 août 2012</w:t>
      </w:r>
    </w:p>
    <w:p>
      <w:r>
        <w:t>IT: UR_GERICHTE 12/13 27 del 31 agosto 2012</w:t>
      </w:r>
    </w:p>
    <w:p>
      <w:pPr>
        <w:pStyle w:val="Heading2"/>
      </w:pPr>
      <w:r>
        <w:t>Regeste</w:t>
      </w:r>
    </w:p>
    <w:p>
      <w:r>
        <w:t>Kantonale direkte Steuern. Art. 205 Abs. 1, Art. 205 Abs. 4 i.V.m. Art. 200 StG. | Kantonale direkte Steuern. Art. 205 Abs. 1, Art. 205 Abs. 4 i.V.m. Art. 200 StG. Das verwaltungsgerichtliche Beschwerdeverfahren kennt keine Gerichtsferien. Der Gesetzgeber übernahm die Regelungen von Art. 140 Abs. 1 und Art. 140 Abs. 4 i.V.m. Art. 133 DBG wortwörtlich. Mithin wird der Fristenlauf umfassend geregelt. Im Recht der kantonalen direkten Steuern findet sich somit eine abschliessende, nicht ergänzungsbedürftige Regelung. Demzufolge kann die VRPV nicht ergänzend angewendet werden.</w:t>
      </w:r>
    </w:p>
    <w:p>
      <w:pPr>
        <w:pStyle w:val="Heading2"/>
      </w:pPr>
      <w:r>
        <w:t>Volltext</w:t>
      </w:r>
    </w:p>
    <w:p>
      <w:r>
        <w:t>Uri Rechenschaftsbericht über die Rechtspflege 31.08.2012 12/13 27 Uri Rechenschaftsbericht über die Rechtspflege 31.08.2012 12/13 27 Uri Rechenschaftsbericht über die Rechtspflege 31.08.2012 12/13 27</w:t>
      </w:r>
    </w:p>
    <w:p>
      <w:r>
        <w:t>Kantonale direkte Steuern. Art. 205 Abs. 1, Art. 205 Abs. 4 i.V.m. Art. 200 StG. | Kantonale direkte Steuern. Art. 205 Abs. 1, Art. 205 Abs. 4 i.V.m. Art. 200 StG. Das verwaltungsgerichtliche Beschwerdeverfahren kennt keine Gerichtsferien. Der Gesetzgeber übernahm die Regelungen von Art. 140 Abs. 1 und Art. 140 Abs. 4 i.V.m. Art. 133 DBG wortwörtlich. Mithin wird der Fristenlauf umfassend geregelt. Im Recht der kantonalen direkten Steuern findet sich somit eine abschliessende, nicht ergänzungsbedürftige Regelung. Demzufolge kann die VRPV nicht ergänzend angewendet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