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37 vom 29. September 2010</w:t>
      </w:r>
    </w:p>
    <w:p>
      <w:r>
        <w:t>UR Obergericht, 2010-09-29, DE</w:t>
      </w:r>
    </w:p>
    <w:p>
      <w:r>
        <w:rPr>
          <w:b/>
        </w:rPr>
        <w:t xml:space="preserve">Quelle: </w:t>
      </w:r>
      <w:r>
        <w:t>https://mcp.opencaselaw.ch/entscheid/ur_gerichte_10_11_37</w:t>
      </w:r>
    </w:p>
    <w:p>
      <w:r>
        <w:t>FR: UR_GERICHTE 10/11 37 du 29 septembre 2010</w:t>
      </w:r>
    </w:p>
    <w:p>
      <w:r>
        <w:t>IT: UR_GERICHTE 10/11 37 del 29 settembre 2010</w:t>
      </w:r>
    </w:p>
    <w:p>
      <w:pPr>
        <w:pStyle w:val="Heading2"/>
      </w:pPr>
      <w:r>
        <w:t>Regeste</w:t>
      </w:r>
    </w:p>
    <w:p>
      <w:r>
        <w:t>Aufsicht über die Rechtsanwälte. Art. 12 lit. a BGFA. | Aufsicht über die Rechtsanwälte. Art. 12 lit. a BGFA. Nach Art. 12 lit. a BGFA ist es unzulässig, eine allenfalls leicht beeinflussbare und in rechtlichen Dingen unbeholfene, im übrigen Verfahren anwaltlich vertretene Gegenpartei in Abwesenheit von deren Rechtsvertreterin auf der eigenen Anwaltskanzlei und unter Anwesenheit des eigenen Klienten eine Vereinbarung unterzeichnen zu lassen.</w:t>
      </w:r>
    </w:p>
    <w:p>
      <w:pPr>
        <w:pStyle w:val="Heading2"/>
      </w:pPr>
      <w:r>
        <w:t>Volltext</w:t>
      </w:r>
    </w:p>
    <w:p>
      <w:r>
        <w:t>Uri Rechenschaftsbericht über die Rechtspflege 29.09.2010 10/11 37 Uri Rechenschaftsbericht über die Rechtspflege 29.09.2010 10/11 37 Uri Rechenschaftsbericht über die Rechtspflege 29.09.2010 10/11 37</w:t>
      </w:r>
    </w:p>
    <w:p>
      <w:r>
        <w:t>Aufsicht über die Rechtsanwälte. Art. 12 lit. a BGFA. | Aufsicht über die Rechtsanwälte. Art. 12 lit. a BGFA. Nach Art. 12 lit. a BGFA ist es unzulässig, eine allenfalls leicht beeinflussbare und in rechtlichen Dingen unbeholfene, im übrigen Verfahren anwaltlich vertretene Gegenpartei in Abwesenheit von deren Rechtsvertreterin auf der eigenen Anwaltskanzlei und unter Anwesenheit des eigenen Klienten eine Vereinbarung unterzeichnen zu lassen.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