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32 vom 25. Juni 2010</w:t>
      </w:r>
    </w:p>
    <w:p>
      <w:r>
        <w:t>UR Obergericht, 2010-06-25, DE</w:t>
      </w:r>
    </w:p>
    <w:p>
      <w:r>
        <w:rPr>
          <w:b/>
        </w:rPr>
        <w:t xml:space="preserve">Quelle: </w:t>
      </w:r>
      <w:r>
        <w:t>https://mcp.opencaselaw.ch/entscheid/ur_gerichte_10_11_32</w:t>
      </w:r>
    </w:p>
    <w:p>
      <w:r>
        <w:t>FR: UR_GERICHTE 10/11 32 du 25 juin 2010</w:t>
      </w:r>
    </w:p>
    <w:p>
      <w:r>
        <w:t>IT: UR_GERICHTE 10/11 32 del 25 giugno 2010</w:t>
      </w:r>
    </w:p>
    <w:p>
      <w:pPr>
        <w:pStyle w:val="Heading2"/>
      </w:pPr>
      <w:r>
        <w:t>Regeste</w:t>
      </w:r>
    </w:p>
    <w:p>
      <w:r>
        <w:t>Kantonale direkte Steuern. Art. 127 Abs. 3 BV. Art. 6 Abs. 1 und 2 StG. | Kantonale direkte Steuern. Art. 127 Abs. 3 BV. Art. 6 Abs. 1 und 2 StG. Unzulässige Doppelbesteuerung. Umschreibung. Der steuerrechtliche Wohnsitz (Hauptsteuerdomizil) einer unselbstständig erwerbenden Person ist derjenige Ort, wo sich die betreffende Person mit der Absicht dauernden Verbleibens aufhält bzw. wo sich der Mittelpunkt ihrer Lebensinteressen befindet. Dieser Mittelpunkt der Lebensinteressen bestimmt sich nach der Gesamtheit der objektiven äusseren Umstände, aus denen sich diese Interessen erkennen lassen. Der steuerrechtliche Wohnsitz als steuerbegründende Tatsache ist grundsätzlich von der Steuerbehörde nachzuweisen.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In casu belegen mehrere Umstände, dass der Beschwerdeführer im Jahre 2006 den Mittelpunkt seiner Lebensinteressen nicht in Brunnen, demnach in Attinghausen hatte. Unzulässigkeit einer qualifizierten Parteiaussage des Steuerpflichtigen. Das Verfahrensrecht des DBG kennt zudem keine Zeugnispflicht.</w:t>
      </w:r>
    </w:p>
    <w:p>
      <w:pPr>
        <w:pStyle w:val="Heading2"/>
      </w:pPr>
      <w:r>
        <w:t>Volltext</w:t>
      </w:r>
    </w:p>
    <w:p>
      <w:r>
        <w:t>Uri Rechenschaftsbericht über die Rechtspflege 25.06.2010 10/11 32 Uri Rechenschaftsbericht über die Rechtspflege 25.06.2010 10/11 32 Uri Rechenschaftsbericht über die Rechtspflege 25.06.2010 10/11 32</w:t>
      </w:r>
    </w:p>
    <w:p>
      <w:r>
        <w:t>Kantonale direkte Steuern. Art. 127 Abs. 3 BV. Art. 6 Abs. 1 und 2 StG. | Kantonale direkte Steuern. Art. 127 Abs. 3 BV. Art. 6 Abs. 1 und 2 StG. Unzulässige Doppelbesteuerung. Umschreibung. Der steuerrechtliche Wohnsitz (Hauptsteuerdomizil) einer unselbstständig erwerbenden Person ist derjenige Ort, wo sich die betreffende Person mit der Absicht dauernden Verbleibens aufhält bzw. wo sich der Mittelpunkt ihrer Lebensinteressen befindet. Dieser Mittelpunkt der Lebensinteressen bestimmt sich nach der Gesamtheit der objektiven äusseren Umstände, aus denen sich diese Interessen erkennen lassen. Der steuerrechtliche Wohnsitz als steuerbegründende Tatsache ist grundsätzlich von der Steuerbehörde nachzuweisen.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In casu belegen mehrere Umstände, dass der Beschwerdeführer im Jahre 2006 den Mittelpunkt seiner Lebensinteressen nicht in Brunnen, demnach in Attinghausen hatte. Unzulässigkeit einer qualifizierten Parteiaussage des Steuerpflichtigen. Das Verfahrensrecht des DBG kennt zudem keine Zeugnispflicht.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