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10/11 29 vom 15. September 2011</w:t>
      </w:r>
    </w:p>
    <w:p>
      <w:r>
        <w:t>UR Obergericht, 2011-09-15, DE</w:t>
      </w:r>
    </w:p>
    <w:p>
      <w:r>
        <w:rPr>
          <w:b/>
        </w:rPr>
        <w:t xml:space="preserve">Quelle: </w:t>
      </w:r>
      <w:r>
        <w:t>https://mcp.opencaselaw.ch/entscheid/ur_gerichte_10_11_29</w:t>
      </w:r>
    </w:p>
    <w:p>
      <w:r>
        <w:t>FR: UR_GERICHTE 10/11 29 du 15 septembre 2011</w:t>
      </w:r>
    </w:p>
    <w:p>
      <w:r>
        <w:t>IT: UR_GERICHTE 10/11 29 del 15 settembre 2011</w:t>
      </w:r>
    </w:p>
    <w:p>
      <w:pPr>
        <w:pStyle w:val="Heading2"/>
      </w:pPr>
      <w:r>
        <w:t>Regeste</w:t>
      </w:r>
    </w:p>
    <w:p>
      <w:r>
        <w:t>IV. Invaliditätsbemessung. | IV. Invaliditätsbemessung. Leidensabzug. Stark vermindertes Sehvermögen. In nahezu allen Erwerbstätigkeiten werden zumindest übliche Anforderungen an das Sehen gestellt. In casu rechtfertigt sich ein Abzug von mindestens 15 Prozent.</w:t>
      </w:r>
    </w:p>
    <w:p>
      <w:pPr>
        <w:pStyle w:val="Heading2"/>
      </w:pPr>
      <w:r>
        <w:t>Volltext</w:t>
      </w:r>
    </w:p>
    <w:p>
      <w:r>
        <w:t>Uri Rechenschaftsbericht über die Rechtspflege 15.09.2011 10/11 29 Uri Rechenschaftsbericht über die Rechtspflege 15.09.2011 10/11 29 Uri Rechenschaftsbericht über die Rechtspflege 15.09.2011 10/11 29</w:t>
      </w:r>
    </w:p>
    <w:p>
      <w:r>
        <w:t>IV. Invaliditätsbemessung. | IV. Invaliditätsbemessung. Leidensabzug. Stark vermindertes Sehvermögen. In nahezu allen Erwerbstätigkeiten werden zumindest übliche Anforderungen an das Sehen gestellt. In casu rechtfertigt sich ein Abzug von mindestens 15 Prozent.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