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10/11 28 vom 18. November 2011</w:t>
      </w:r>
    </w:p>
    <w:p>
      <w:r>
        <w:t>UR Obergericht, 2011-11-18, DE</w:t>
      </w:r>
    </w:p>
    <w:p>
      <w:r>
        <w:rPr>
          <w:b/>
        </w:rPr>
        <w:t xml:space="preserve">Quelle: </w:t>
      </w:r>
      <w:r>
        <w:t>https://mcp.opencaselaw.ch/entscheid/ur_gerichte_10_11_28</w:t>
      </w:r>
    </w:p>
    <w:p>
      <w:r>
        <w:t>FR: UR_GERICHTE 10/11 28 du 18 novembre 2011</w:t>
      </w:r>
    </w:p>
    <w:p>
      <w:r>
        <w:t>IT: UR_GERICHTE 10/11 28 del 18 novembre 2011</w:t>
      </w:r>
    </w:p>
    <w:p>
      <w:pPr>
        <w:pStyle w:val="Heading2"/>
      </w:pPr>
      <w:r>
        <w:t>Regeste</w:t>
      </w:r>
    </w:p>
    <w:p>
      <w:r>
        <w:t>IV. Art. 28 Abs. 1 lit. a IVG. Art. 69 Abs. 2 IVV. | IV. Art. 28 Abs. 1 lit. a IVG. Art. 69 Abs. 2 IVV. Die Abklärung vor Ort nach Art. 69 Abs. 2 IVV ist für gewöhnlich die geeignete Vorkehr zur Bestimmung der Behinderung im Haushalt. BGE 8C_671/2007 (vom 13.06.2008) bezieht sich einzig auf psychische Leiden. Die Schadenminderungspflicht nach Art. 28 Abs. 1 lit. a IVG kann bewirken, dass sich die Einschränkung im Haushaltsbereich bei gleichbleibendem Gesundheitszustand mit der Zeit verkleinert (durch zweckmässige Arbeitsweise, Anschaffung geeigneter Haushaltseinrichtungen und -maschinen und Mithilfe der Familienmitglieder [welche weiter geht, als die ohne Gesundheitsschädigung üblicherweise zu erwartende Unterstützung]).</w:t>
      </w:r>
    </w:p>
    <w:p>
      <w:pPr>
        <w:pStyle w:val="Heading2"/>
      </w:pPr>
      <w:r>
        <w:t>Volltext</w:t>
      </w:r>
    </w:p>
    <w:p>
      <w:r>
        <w:t>Uri Rechenschaftsbericht über die Rechtspflege 18.11.2011 10/11 28 Uri Rechenschaftsbericht über die Rechtspflege 18.11.2011 10/11 28 Uri Rechenschaftsbericht über die Rechtspflege 18.11.2011 10/11 28</w:t>
      </w:r>
    </w:p>
    <w:p>
      <w:r>
        <w:t>IV. Art. 28 Abs. 1 lit. a IVG. Art. 69 Abs. 2 IVV. | IV. Art. 28 Abs. 1 lit. a IVG. Art. 69 Abs. 2 IVV. Die Abklärung vor Ort nach Art. 69 Abs. 2 IVV ist für gewöhnlich die geeignete Vorkehr zur Bestimmung der Behinderung im Haushalt. BGE 8C_671/2007 (vom 13.06.2008) bezieht sich einzig auf psychische Leiden. Die Schadenminderungspflicht nach Art. 28 Abs. 1 lit. a IVG kann bewirken, dass sich die Einschränkung im Haushaltsbereich bei gleichbleibendem Gesundheitszustand mit der Zeit verkleinert (durch zweckmässige Arbeitsweise, Anschaffung geeigneter Haushaltseinrichtungen und -maschinen und Mithilfe der Familienmitglieder [welche weiter geht, als die ohne Gesundheitsschädigung üblicherweise zu erwartende Unterstützung]).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