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01 vom 11. Juni 2010</w:t>
      </w:r>
    </w:p>
    <w:p>
      <w:r>
        <w:t>UR Obergericht, 2010-06-11, DE</w:t>
      </w:r>
    </w:p>
    <w:p>
      <w:r>
        <w:rPr>
          <w:b/>
        </w:rPr>
        <w:t xml:space="preserve">Quelle: </w:t>
      </w:r>
      <w:r>
        <w:t>https://mcp.opencaselaw.ch/entscheid/ur_gerichte_10_11_01</w:t>
      </w:r>
    </w:p>
    <w:p>
      <w:r>
        <w:t>FR: UR_GERICHTE 10/11 01 du 11 juin 2010</w:t>
      </w:r>
    </w:p>
    <w:p>
      <w:r>
        <w:t>IT: UR_GERICHTE 10/11 01 del 11 giugno 2010</w:t>
      </w:r>
    </w:p>
    <w:p>
      <w:pPr>
        <w:pStyle w:val="Heading2"/>
      </w:pPr>
      <w:r>
        <w:t>Regeste</w:t>
      </w:r>
    </w:p>
    <w:p>
      <w:r>
        <w:t>Zivilprozessordnung. Art. 6 Ziff. 1 EMRK. Art. 30 Abs. 1 BV. | Zivilprozessordnung. Art. 6 Ziff. 1 EMRK. Art. 30 Abs. 1 BV. Grundsätzliche Zulässigkeit der Personalunion zwischen dem Richter, der über die Anordnung vorsorglicher Massnahmen (Vormerkung einer Verfügungsbeschränkung) entscheidet, und dem in der Hauptsache (Klage betreffend Ausübung des Vorkaufsrechts mit Eintragung von Grundeigentum) entscheidenden Richter.</w:t>
      </w:r>
    </w:p>
    <w:p>
      <w:pPr>
        <w:pStyle w:val="Heading2"/>
      </w:pPr>
      <w:r>
        <w:t>Volltext</w:t>
      </w:r>
    </w:p>
    <w:p>
      <w:r>
        <w:t>Uri Rechenschaftsbericht über die Rechtspflege 11.06.2010 10/11 01 Uri Rechenschaftsbericht über die Rechtspflege 11.06.2010 10/11 01 Uri Rechenschaftsbericht über die Rechtspflege 11.06.2010 10/11 01</w:t>
      </w:r>
    </w:p>
    <w:p>
      <w:r>
        <w:t>Zivilprozessordnung. Art. 6 Ziff. 1 EMRK. Art. 30 Abs. 1 BV. | Zivilprozessordnung. Art. 6 Ziff. 1 EMRK. Art. 30 Abs. 1 BV. Grundsätzliche Zulässigkeit der Personalunion zwischen dem Richter, der über die Anordnung vorsorglicher Massnahmen (Vormerkung einer Verfügungsbeschränkung) entscheidet, und dem in der Hauptsache (Klage betreffend Ausübung des Vorkaufsrechts mit Eintragung von Grundeigentum) entscheidenden Richter.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