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04 vom 8. April 2008</w:t>
      </w:r>
    </w:p>
    <w:p>
      <w:r>
        <w:t>UR Obergericht, 2008-04-08, DE</w:t>
      </w:r>
    </w:p>
    <w:p>
      <w:r>
        <w:rPr>
          <w:b/>
        </w:rPr>
        <w:t xml:space="preserve">Quelle: </w:t>
      </w:r>
      <w:r>
        <w:t>https://mcp.opencaselaw.ch/entscheid/ur_gerichte_08_09_04</w:t>
      </w:r>
    </w:p>
    <w:p>
      <w:r>
        <w:t>FR: UR_GERICHTE 08/09 04 du 8 avril 2008</w:t>
      </w:r>
    </w:p>
    <w:p>
      <w:r>
        <w:t>IT: UR_GERICHTE 08/09 04 del 8 aprile 2008</w:t>
      </w:r>
    </w:p>
    <w:p>
      <w:pPr>
        <w:pStyle w:val="Heading2"/>
      </w:pPr>
      <w:r>
        <w:t>Regeste</w:t>
      </w:r>
    </w:p>
    <w:p>
      <w:r>
        <w:t>Zivilprozessordnung. Art. 105 Abs. 2 ZPO. | Zivilprozessordnung. Art. 105 Abs. 2 ZPO. Den Parteien ist z.B. durch Mitteilung des Abschlusses des Schriftenwechsels anzuzeigen, dass eine allfällige Kostennote nun einzureichen ist. Andernfalls würde den Parteien die gesetzlich vorgesehene Möglichkeit zur rechtzeitigen Einreichung einer Kostennote in vielen Fällen abgeschnitten.</w:t>
      </w:r>
    </w:p>
    <w:p>
      <w:pPr>
        <w:pStyle w:val="Heading2"/>
      </w:pPr>
      <w:r>
        <w:t>Volltext</w:t>
      </w:r>
    </w:p>
    <w:p>
      <w:r>
        <w:t>Uri Rechenschaftsbericht über die Rechtspflege 08.04.2008 08/09 04 Uri Rechenschaftsbericht über die Rechtspflege 08.04.2008 08/09 04 Uri Rechenschaftsbericht über die Rechtspflege 08.04.2008 08/09 04</w:t>
      </w:r>
    </w:p>
    <w:p>
      <w:r>
        <w:t>Zivilprozessordnung. Art. 105 Abs. 2 ZPO. | Zivilprozessordnung. Art. 105 Abs. 2 ZPO. Den Parteien ist z.B. durch Mitteilung des Abschlusses des Schriftenwechsels anzuzeigen, dass eine allfällige Kostennote nun einzureichen ist. Andernfalls würde den Parteien die gesetzlich vorgesehene Möglichkeit zur rechtzeitigen Einreichung einer Kostennote in vielen Fällen abgeschnitten.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