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04/05 53 vom 5. Oktober 2005</w:t>
      </w:r>
    </w:p>
    <w:p>
      <w:r>
        <w:t>UR Obergericht, 2005-10-05, DE</w:t>
      </w:r>
    </w:p>
    <w:p>
      <w:r>
        <w:rPr>
          <w:b/>
        </w:rPr>
        <w:t xml:space="preserve">Quelle: </w:t>
      </w:r>
      <w:r>
        <w:t>https://mcp.opencaselaw.ch/entscheid/ur_gerichte_04_05_53</w:t>
      </w:r>
    </w:p>
    <w:p>
      <w:r>
        <w:t>FR: UR_GERICHTE 04/05 53 du 5 octobre 2005</w:t>
      </w:r>
    </w:p>
    <w:p>
      <w:r>
        <w:t>IT: UR_GERICHTE 04/05 53 del 5 ottobre 2005</w:t>
      </w:r>
    </w:p>
    <w:p>
      <w:pPr>
        <w:pStyle w:val="Heading2"/>
      </w:pPr>
      <w:r>
        <w:t>Regeste</w:t>
      </w:r>
    </w:p>
    <w:p>
      <w:r>
        <w:t>Ausstand des Staatsanwaltes. Art. 210 Abs. 1 Ziff. 18a, Art. 211 StPO. | Ausstand des Staatsanwaltes. Art. 210 Abs. 1 Ziff. 18a, Art. 211 StPO. Die Rüge der Befangenheit des Staatsanwaltes ist mit dem Rekurs geltend zu machen, wenn der Staatsanwalt bereits eine Einstellungsverfügung erlassen hat.</w:t>
      </w:r>
    </w:p>
    <w:p>
      <w:pPr>
        <w:pStyle w:val="Heading2"/>
      </w:pPr>
      <w:r>
        <w:t>Volltext</w:t>
      </w:r>
    </w:p>
    <w:p>
      <w:r>
        <w:t>Uri Rechenschaftsbericht über die Rechtspflege 05.10.2005 04/05 53 Uri Rechenschaftsbericht über die Rechtspflege 05.10.2005 04/05 53 Uri Rechenschaftsbericht über die Rechtspflege 05.10.2005 04/05 53</w:t>
      </w:r>
    </w:p>
    <w:p>
      <w:r>
        <w:t>Ausstand des Staatsanwaltes. Art. 210 Abs. 1 Ziff. 18a, Art. 211 StPO. | Ausstand des Staatsanwaltes. Art. 210 Abs. 1 Ziff. 18a, Art. 211 StPO. Die Rüge der Befangenheit des Staatsanwaltes ist mit dem Rekurs geltend zu machen, wenn der Staatsanwalt bereits eine Einstellungsverfügung erlassen hat.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