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18 vom 24. Mai 2005</w:t>
      </w:r>
    </w:p>
    <w:p>
      <w:r>
        <w:t>UR Obergericht, 2005-05-24, DE</w:t>
      </w:r>
    </w:p>
    <w:p>
      <w:r>
        <w:rPr>
          <w:b/>
        </w:rPr>
        <w:t xml:space="preserve">Quelle: </w:t>
      </w:r>
      <w:r>
        <w:t>https://mcp.opencaselaw.ch/entscheid/ur_gerichte_04_05_18</w:t>
      </w:r>
    </w:p>
    <w:p>
      <w:r>
        <w:t>FR: UR_GERICHTE 04/05 18 du 24 mai 2005</w:t>
      </w:r>
    </w:p>
    <w:p>
      <w:r>
        <w:t>IT: UR_GERICHTE 04/05 18 del 24 maggio 2005</w:t>
      </w:r>
    </w:p>
    <w:p>
      <w:pPr>
        <w:pStyle w:val="Heading2"/>
      </w:pPr>
      <w:r>
        <w:t>Regeste</w:t>
      </w:r>
    </w:p>
    <w:p>
      <w:r>
        <w:t>Strafprozessordnung. Art. 6 Ziff. 2 EMRK. Art. 29 Abs. 2, Art. 32 Abs. 1 BV. Art. 249 BStP. Art.188 Abs. 2, Art. 227 Abs.1 StPO. | Strafprozessordnung. Art. 6 Ziff. 2 EMRK. Art. 29 Abs. 2,</w:t>
      </w:r>
    </w:p>
    <w:p>
      <w:pPr>
        <w:pStyle w:val="Heading2"/>
      </w:pPr>
      <w:r>
        <w:t>Volltext</w:t>
      </w:r>
    </w:p>
    <w:p>
      <w:r>
        <w:t>Uri Rechenschaftsbericht über die Rechtspflege 24.05.2005 04/05 18 Uri Rechenschaftsbericht über die Rechtspflege 24.05.2005 04/05 18 Uri Rechenschaftsbericht über die Rechtspflege 24.05.2005 04/05 18</w:t>
      </w:r>
    </w:p>
    <w:p>
      <w:r>
        <w:t>Strafprozessordnung. Art. 6 Ziff. 2 EMRK. Art. 29 Abs. 2, Art. 32 Abs. 1 BV. Art. 249 BStP. Art.188 Abs. 2, Art. 227 Abs.1 StPO. | Strafprozessordnung. Art. 6 Ziff. 2 EMRK. Art. 29 Abs. 2,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