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04/05 02 vom 9. September 2005</w:t>
      </w:r>
    </w:p>
    <w:p>
      <w:r>
        <w:t>UR Obergericht, 2005-09-09, DE</w:t>
      </w:r>
    </w:p>
    <w:p>
      <w:r>
        <w:rPr>
          <w:b/>
        </w:rPr>
        <w:t xml:space="preserve">Quelle: </w:t>
      </w:r>
      <w:r>
        <w:t>https://mcp.opencaselaw.ch/entscheid/ur_gerichte_04_05_02</w:t>
      </w:r>
    </w:p>
    <w:p>
      <w:r>
        <w:t>FR: UR_GERICHTE 04/05 02 du 9 septembre 2005</w:t>
      </w:r>
    </w:p>
    <w:p>
      <w:r>
        <w:t>IT: UR_GERICHTE 04/05 02 del 9 settembre 2005</w:t>
      </w:r>
    </w:p>
    <w:p>
      <w:pPr>
        <w:pStyle w:val="Heading2"/>
      </w:pPr>
      <w:r>
        <w:t>Regeste</w:t>
      </w:r>
    </w:p>
    <w:p>
      <w:r>
        <w:t>Zivilprozessordnung. Art. 29 Abs. 2 BV. Art. 53, Art. 100 Abs. 1 lit. e ZPO. | Zivilprozessordnung. Art. 29 Abs. 2 BV. Art. 53, Art. 100 Abs. 1 lit. e ZPO. Der Entscheid über die zu entrichtende Parteientschädigung muss in der Regel nicht begründet werden. Voraussetzungen, unter denen eine Begründungspflicht besteht.</w:t>
      </w:r>
    </w:p>
    <w:p>
      <w:pPr>
        <w:pStyle w:val="Heading2"/>
      </w:pPr>
      <w:r>
        <w:t>Volltext</w:t>
      </w:r>
    </w:p>
    <w:p>
      <w:r>
        <w:t>Uri Rechenschaftsbericht über die Rechtspflege 09.09.2005 04/05 02 Uri Rechenschaftsbericht über die Rechtspflege 09.09.2005 04/05 02 Uri Rechenschaftsbericht über die Rechtspflege 09.09.2005 04/05 02</w:t>
      </w:r>
    </w:p>
    <w:p>
      <w:r>
        <w:t>Zivilprozessordnung. Art. 29 Abs. 2 BV. Art. 53, Art. 100 Abs. 1 lit. e ZPO. | Zivilprozessordnung. Art. 29 Abs. 2 BV. Art. 53, Art. 100 Abs. 1 lit. e ZPO. Der Entscheid über die zu entrichtende Parteientschädigung muss in der Regel nicht begründet werden. Voraussetzungen, unter denen eine Begründungspflicht besteht.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