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28 vom 27. September 2002</w:t>
      </w:r>
    </w:p>
    <w:p>
      <w:r>
        <w:t>UR Obergericht, 2002-09-27, DE</w:t>
      </w:r>
    </w:p>
    <w:p>
      <w:r>
        <w:rPr>
          <w:b/>
        </w:rPr>
        <w:t xml:space="preserve">Quelle: </w:t>
      </w:r>
      <w:r>
        <w:t>https://mcp.opencaselaw.ch/entscheid/ur_gerichte_02_03_28</w:t>
      </w:r>
    </w:p>
    <w:p>
      <w:r>
        <w:t>FR: UR_GERICHTE 02/03 28 du 27 septembre 2002</w:t>
      </w:r>
    </w:p>
    <w:p>
      <w:r>
        <w:t>IT: UR_GERICHTE 02/03 28 del 27 settembre 2002</w:t>
      </w:r>
    </w:p>
    <w:p>
      <w:pPr>
        <w:pStyle w:val="Heading2"/>
      </w:pPr>
      <w:r>
        <w:t>Regeste</w:t>
      </w:r>
    </w:p>
    <w:p>
      <w:r>
        <w:t>Baurecht. Art. 37 BauG. | Baurecht. Art. 37 BauG. Frage der materiellen Rechtmässigkeit einer ohne Baubewilligung erstellten Baute. Anwendbares Recht. Massgebend ist das zur Zeit der Errichtung gültige Recht. Es ist genauer auf dasjenige Recht abzustellen, das im Zeitpunkt Geltung hatte, in dem das Baugesuch ordentlicherweise hätte gestellt werden müssen. Wiederherstellung des rechtmässigen Zustandes. Voraussetzungen. Auch ein Bauherr, der nicht gutgläubig gehandelt hat, kann sich gegenüber einem Abbruchbefehl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erwachsenden Nachteile nicht oder nur in verringertem Masse berücksichtigen.</w:t>
      </w:r>
    </w:p>
    <w:p>
      <w:pPr>
        <w:pStyle w:val="Heading2"/>
      </w:pPr>
      <w:r>
        <w:t>Volltext</w:t>
      </w:r>
    </w:p>
    <w:p>
      <w:r>
        <w:t>Uri Rechenschaftsbericht über die Rechtspflege 27.09.2002 02/03 28 Uri Rechenschaftsbericht über die Rechtspflege 27.09.2002 02/03 28 Uri Rechenschaftsbericht über die Rechtspflege 27.09.2002 02/03 28</w:t>
      </w:r>
    </w:p>
    <w:p>
      <w:r>
        <w:t>Baurecht. Art. 37 BauG. | Baurecht. Art. 37 BauG. Frage der materiellen Rechtmässigkeit einer ohne Baubewilligung erstellten Baute. Anwendbares Recht. Massgebend ist das zur Zeit der Errichtung gültige Recht. Es ist genauer auf dasjenige Recht abzustellen, das im Zeitpunkt Geltung hatte, in dem das Baugesuch ordentlicherweise hätte gestellt werden müssen. Wiederherstellung des rechtmässigen Zustandes. Voraussetzungen. Auch ein Bauherr, der nicht gutgläubig gehandelt hat, kann sich gegenüber einem Abbruchbefehl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erwachsenden Nachteile nicht oder nur in verringertem Masse berücksichtigen.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