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02/03 27 vom 25. Oktober 2002</w:t>
      </w:r>
    </w:p>
    <w:p>
      <w:r>
        <w:t>UR Obergericht, 2002-10-25, DE</w:t>
      </w:r>
    </w:p>
    <w:p>
      <w:r>
        <w:rPr>
          <w:b/>
        </w:rPr>
        <w:t xml:space="preserve">Quelle: </w:t>
      </w:r>
      <w:r>
        <w:t>https://mcp.opencaselaw.ch/entscheid/ur_gerichte_02_03_27</w:t>
      </w:r>
    </w:p>
    <w:p>
      <w:r>
        <w:t>FR: UR_GERICHTE 02/03 27 du 25 octobre 2002</w:t>
      </w:r>
    </w:p>
    <w:p>
      <w:r>
        <w:t>IT: UR_GERICHTE 02/03 27 del 25 ottobre 2002</w:t>
      </w:r>
    </w:p>
    <w:p>
      <w:pPr>
        <w:pStyle w:val="Heading2"/>
      </w:pPr>
      <w:r>
        <w:t>Regeste</w:t>
      </w:r>
    </w:p>
    <w:p>
      <w:r>
        <w:t>Schätzung von Grundstücken. Art. 7 Abs. 1 | Schätzung von Grundstücken. Art. 7 Abs. 1 Verordnung über die steueramtliche Schätzung der Grundstücke. Für die Ermittlung des Schätzungswertes sind die Grundstückverhältnisse im Zeitpunkt der Schätzung massgebend, d.h. wie sie im Zeitpunkt der schriftlichen Mitteilung der Schätzung (Schätzungsanzeige) bestanden.</w:t>
      </w:r>
    </w:p>
    <w:p>
      <w:pPr>
        <w:pStyle w:val="Heading2"/>
      </w:pPr>
      <w:r>
        <w:t>Volltext</w:t>
      </w:r>
    </w:p>
    <w:p>
      <w:r>
        <w:t>Uri Rechenschaftsbericht über die Rechtspflege 25.10.2002 02/03 27 Uri Rechenschaftsbericht über die Rechtspflege 25.10.2002 02/03 27 Uri Rechenschaftsbericht über die Rechtspflege 25.10.2002 02/03 27</w:t>
      </w:r>
    </w:p>
    <w:p>
      <w:r>
        <w:t>Schätzung von Grundstücken. Art. 7 Abs. 1 | Schätzung von Grundstücken. Art. 7 Abs. 1 Verordnung über die steueramtliche Schätzung der Grundstücke. Für die Ermittlung des Schätzungswertes sind die Grundstückverhältnisse im Zeitpunkt der Schätzung massgebend, d.h. wie sie im Zeitpunkt der schriftlichen Mitteilung der Schätzung (Schätzungsanzeige) bestanden.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