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02/03 12 vom 20. Mai 2003</w:t>
      </w:r>
    </w:p>
    <w:p>
      <w:r>
        <w:t>UR Obergericht, 2003-05-20, DE</w:t>
      </w:r>
    </w:p>
    <w:p>
      <w:r>
        <w:rPr>
          <w:b/>
        </w:rPr>
        <w:t xml:space="preserve">Quelle: </w:t>
      </w:r>
      <w:r>
        <w:t>https://mcp.opencaselaw.ch/entscheid/ur_gerichte_02_03_12</w:t>
      </w:r>
    </w:p>
    <w:p>
      <w:r>
        <w:t>FR: UR_GERICHTE 02/03 12 du 20 mai 2003</w:t>
      </w:r>
    </w:p>
    <w:p>
      <w:r>
        <w:t>IT: UR_GERICHTE 02/03 12 del 20 maggio 2003</w:t>
      </w:r>
    </w:p>
    <w:p>
      <w:pPr>
        <w:pStyle w:val="Heading2"/>
      </w:pPr>
      <w:r>
        <w:t>Regeste</w:t>
      </w:r>
    </w:p>
    <w:p>
      <w:r>
        <w:t>Strafgesetzbuch. Art. 64 alinea 1 StGB. | Strafgesetzbuch. Art. 64 alinea 1 StGB. Blockade der A2 durch Umweltaktivisten. Vorliegen des Strafmilderungsgrundes der achtenswerten Beweggründe verneint.</w:t>
      </w:r>
    </w:p>
    <w:p>
      <w:pPr>
        <w:pStyle w:val="Heading2"/>
      </w:pPr>
      <w:r>
        <w:t>Volltext</w:t>
      </w:r>
    </w:p>
    <w:p>
      <w:r>
        <w:t>Uri Rechenschaftsbericht über die Rechtspflege 20.05.2003 02/03 12 Uri Rechenschaftsbericht über die Rechtspflege 20.05.2003 02/03 12 Uri Rechenschaftsbericht über die Rechtspflege 20.05.2003 02/03 12</w:t>
      </w:r>
    </w:p>
    <w:p>
      <w:r>
        <w:t>Strafgesetzbuch. Art. 64 alinea 1 StGB. | Strafgesetzbuch. Art. 64 alinea 1 StGB. Blockade der A2 durch Umweltaktivisten. Vorliegen des Strafmilderungsgrundes der achtenswerten Beweggründe verneint.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