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02/03 05 vom 7. Mai 2002</w:t>
      </w:r>
    </w:p>
    <w:p>
      <w:r>
        <w:t>UR Obergericht, 2002-05-07, DE</w:t>
      </w:r>
    </w:p>
    <w:p>
      <w:r>
        <w:rPr>
          <w:b/>
        </w:rPr>
        <w:t xml:space="preserve">Quelle: </w:t>
      </w:r>
      <w:r>
        <w:t>https://mcp.opencaselaw.ch/entscheid/ur_gerichte_02_03_05</w:t>
      </w:r>
    </w:p>
    <w:p>
      <w:r>
        <w:t>FR: UR_GERICHTE 02/03 05 du 7 mai 2002</w:t>
      </w:r>
    </w:p>
    <w:p>
      <w:r>
        <w:t>IT: UR_GERICHTE 02/03 05 del 7 maggio 2002</w:t>
      </w:r>
    </w:p>
    <w:p>
      <w:pPr>
        <w:pStyle w:val="Heading2"/>
      </w:pPr>
      <w:r>
        <w:t>Regeste</w:t>
      </w:r>
    </w:p>
    <w:p>
      <w:r>
        <w:t>Zivilprozessordnung. Art. 223 Abs. 1 lit. a ZPO. | Zivilprozessordnung. Art. 223 Abs. 1 lit. a ZPO. Vorsorgliche Massnahmen. Voraussetzungen für die Anordnung einer Regelungsmassnahme. Glaubhaftmachung der tatsächlichen Grundlagen durch einen gerichtlichen Augenschein der Vorinstanz.</w:t>
      </w:r>
    </w:p>
    <w:p>
      <w:pPr>
        <w:pStyle w:val="Heading2"/>
      </w:pPr>
      <w:r>
        <w:t>Volltext</w:t>
      </w:r>
    </w:p>
    <w:p>
      <w:r>
        <w:t>Uri Rechenschaftsbericht über die Rechtspflege 07.05.2002 02/03 05 Uri Rechenschaftsbericht über die Rechtspflege 07.05.2002 02/03 05 Uri Rechenschaftsbericht über die Rechtspflege 07.05.2002 02/03 05</w:t>
      </w:r>
    </w:p>
    <w:p>
      <w:r>
        <w:t>Zivilprozessordnung. Art. 223 Abs. 1 lit. a ZPO. | Zivilprozessordnung. Art. 223 Abs. 1 lit. a ZPO. Vorsorgliche Massnahmen. Voraussetzungen für die Anordnung einer Regelungsmassnahme. Glaubhaftmachung der tatsächlichen Grundlagen durch einen gerichtlichen Augenschein der Vorinstanz.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