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18 vom 30. Mai 2000</w:t>
      </w:r>
    </w:p>
    <w:p>
      <w:r>
        <w:t>UR Obergericht, 2000-05-30, DE</w:t>
      </w:r>
    </w:p>
    <w:p>
      <w:r>
        <w:rPr>
          <w:b/>
        </w:rPr>
        <w:t xml:space="preserve">Quelle: </w:t>
      </w:r>
      <w:r>
        <w:t>https://mcp.opencaselaw.ch/entscheid/ur_gerichte_00_01_18</w:t>
      </w:r>
    </w:p>
    <w:p>
      <w:r>
        <w:t>FR: UR_GERICHTE 00/01 18 du 30 mai 2000</w:t>
      </w:r>
    </w:p>
    <w:p>
      <w:r>
        <w:t>IT: UR_GERICHTE 00/01 18 del 30 maggio 2000</w:t>
      </w:r>
    </w:p>
    <w:p>
      <w:pPr>
        <w:pStyle w:val="Heading2"/>
      </w:pPr>
      <w:r>
        <w:t>Regeste</w:t>
      </w:r>
    </w:p>
    <w:p>
      <w:r>
        <w:t>Baurecht. Art. 37 BauG, Art. 87 BZO Seedorf. | Baurecht. Art. 37 BauG, Art. 87 BZO Seedorf. Formell und materiell rechtswidrige Bauten sind grundsätzlich abzubrechen, ausser wenn verfassungsund verwaltungsrechtliche Prinzipien, insbesondere der Grundsatz der Verhältnismässigkeit oder des Schutzes des guten Glaubens entgegen stehen.</w:t>
      </w:r>
    </w:p>
    <w:p>
      <w:pPr>
        <w:pStyle w:val="Heading2"/>
      </w:pPr>
      <w:r>
        <w:t>Volltext</w:t>
      </w:r>
    </w:p>
    <w:p>
      <w:r>
        <w:t>Uri Rechenschaftsbericht über die Rechtspflege 30.05.2000 00/01 18 Uri Rechenschaftsbericht über die Rechtspflege 30.05.2000 00/01 18 Uri Rechenschaftsbericht über die Rechtspflege 30.05.2000 00/01 18</w:t>
      </w:r>
    </w:p>
    <w:p>
      <w:r>
        <w:t>Baurecht. Art. 37 BauG, Art. 87 BZO Seedorf. | Baurecht. Art. 37 BauG, Art. 87 BZO Seedorf. Formell und materiell rechtswidrige Bauten sind grundsätzlich abzubrechen, ausser wenn verfassungsund verwaltungsrechtliche Prinzipien, insbesondere der Grundsatz der Verhältnismässigkeit oder des Schutzes des guten Glaubens entgegen stehen.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