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10 vom 4. Oktober 2000</w:t>
      </w:r>
    </w:p>
    <w:p>
      <w:r>
        <w:t>UR Obergericht, 2000-10-04, DE</w:t>
      </w:r>
    </w:p>
    <w:p>
      <w:r>
        <w:rPr>
          <w:b/>
        </w:rPr>
        <w:t xml:space="preserve">Quelle: </w:t>
      </w:r>
      <w:r>
        <w:t>https://mcp.opencaselaw.ch/entscheid/ur_gerichte_00_01_10</w:t>
      </w:r>
    </w:p>
    <w:p>
      <w:r>
        <w:t>FR: UR_GERICHTE 00/01 10 du 4 octobre 2000</w:t>
      </w:r>
    </w:p>
    <w:p>
      <w:r>
        <w:t>IT: UR_GERICHTE 00/01 10 del 4 ottobre 2000</w:t>
      </w:r>
    </w:p>
    <w:p>
      <w:pPr>
        <w:pStyle w:val="Heading2"/>
      </w:pPr>
      <w:r>
        <w:t>Regeste</w:t>
      </w:r>
    </w:p>
    <w:p>
      <w:r>
        <w:t>Strafprozessordnung. Art. 164 Abs. 1, Art. 167 Abs. 1, Art. 189 Abs. 1 StPO. | Strafprozessordnung. Art. 164 Abs. 1, Art. 167 Abs. 1, Art. 189 Abs. 1 StPO. Das Verschlechterungsverbot (reformatio in peius) gilt bei Einsprache gegen einen Strafbefehl nicht.</w:t>
      </w:r>
    </w:p>
    <w:p>
      <w:pPr>
        <w:pStyle w:val="Heading2"/>
      </w:pPr>
      <w:r>
        <w:t>Volltext</w:t>
      </w:r>
    </w:p>
    <w:p>
      <w:r>
        <w:t>Uri Rechenschaftsbericht über die Rechtspflege 04.10.2000 00/01 10 Uri Rechenschaftsbericht über die Rechtspflege 04.10.2000 00/01 10 Uri Rechenschaftsbericht über die Rechtspflege 04.10.2000 00/01 10</w:t>
      </w:r>
    </w:p>
    <w:p>
      <w:r>
        <w:t>Strafprozessordnung. Art. 164 Abs. 1, Art. 167 Abs. 1, Art. 189 Abs. 1 StPO. | Strafprozessordnung. Art. 164 Abs. 1, Art. 167 Abs. 1, Art. 189 Abs. 1 StPO. Das Verschlechterungsverbot (reformatio in peius) gilt bei Einsprache gegen einen Strafbefehl nicht.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