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TI-98861 vom 12. August 2008</w:t>
      </w:r>
    </w:p>
    <w:p>
      <w:r>
        <w:t>TI Tribunale d'appello, 2008-08-12, IT</w:t>
      </w:r>
    </w:p>
    <w:p>
      <w:r>
        <w:rPr>
          <w:b/>
        </w:rPr>
        <w:t xml:space="preserve">Quelle: </w:t>
      </w:r>
      <w:r>
        <w:t>https://mcp.opencaselaw.ch/entscheid/ti_gerichte_TI-98861</w:t>
      </w:r>
    </w:p>
    <w:p>
      <w:r>
        <w:t>FR: TI_GERICHTE TI-98861 du 12 août 2008</w:t>
      </w:r>
    </w:p>
    <w:p>
      <w:r>
        <w:t>IT: TI_GERICHTE TI-98861 del 12 agosto 2008</w:t>
      </w:r>
    </w:p>
    <w:p>
      <w:pPr>
        <w:pStyle w:val="Heading2"/>
      </w:pPr>
      <w:r>
        <w:t>Erwägungen</w:t>
      </w:r>
    </w:p>
    <w:p>
      <w:r>
        <w:rPr>
          <w:b/>
        </w:rPr>
        <w:t>E. 4</w:t>
      </w:r>
    </w:p>
    <w:p>
      <w:r>
        <w:t>Con osservazioni del 31 luglio 2008 (doc. 3, inc. 96.2008.3), la difesa segnala di seguire con molta attenzione lo sviluppo dellinchiesta e di non rilevare alcun elemento per contestare la richiesta del magistrato inquirente, alla quale non si oppone. Rileva che il problema più grave e delicato della fattispecie in questione è la reintegrazione dellaccusato (fortemente turbato e con alle spalle oggettivi fallimenti di esperienze di assistenza/collocamento/reinserimento).</w:t>
      </w:r>
    </w:p>
    <w:p>
      <w:r>
        <w:rPr>
          <w:b/>
        </w:rPr>
        <w:t>E. 5</w:t>
      </w:r>
    </w:p>
    <w:p>
      <w:r>
        <w:t>Listanza di proroga (art. 103 CPP), presentata dal Procuratore pubblico entro il termine di scadenzaex legedella carcerazione preventiva (art. 102 cpv. 2 CPP), e con anticipo sufficiente a permettere osservazioni della difesa, è ricevibile in ordine.</w:t>
      </w:r>
    </w:p>
    <w:p>
      <w:r>
        <w:rPr>
          <w:b/>
        </w:rPr>
        <w:t>E. 6</w:t>
      </w:r>
    </w:p>
    <w:p>
      <w:r>
        <w:t>In diritto, sebbene noto al magistrato inquirente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giàla Cameradei ricorsi penali, non restringe la sua cognizione all'arbitrio (Rep. 1980 pag. 128)."</w:t>
      </w:r>
    </w:p>
    <w:p>
      <w:r>
        <w:t>(GIAR 7 novembre 2005, 308.2005.2)</w:t>
      </w:r>
    </w:p>
    <w:p>
      <w:r>
        <w:rPr>
          <w:b/>
        </w:rPr>
        <w:t>E. 7</w:t>
      </w:r>
    </w:p>
    <w:p>
      <w:r>
        <w:t>a)</w:t>
      </w:r>
    </w:p>
    <w:p>
      <w:r>
        <w:t>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w:t>
      </w:r>
    </w:p>
    <w:p>
      <w:r>
        <w:t>Ciò vale anche quando lesistenza di gravi indizi di reato non è formalmente contestata.</w:t>
      </w:r>
    </w:p>
    <w:p>
      <w:r>
        <w:t>b)</w:t>
      </w:r>
    </w:p>
    <w:p>
      <w:r>
        <w:t>Nel caso in esame, non occorrono grandi disquisizioni per confermare lesistenza di sufficienti indizi quo ai reati ascritti (rispettivamente luno o laltro di questi a seconda delle circostanze cui si fa riferimento) nelle stesse dichiarazioni di __________ fin dai suoi primi verbali (cfr. verbale GIAR 16 febbraio 2008 e verbali PP in AI 412, 92, 96), nelle dichiarazioni di terzi (sempre a seconda della circostanza cui si fa riferimento: cfr. ad esempio verbali di polizia __________ -20 febbraio 2008-, __________ -22 febbraio 2008-, __________ -28 febbraio 2008-, __________ -9 luglio 2008-) e anche in riscontri raccolti dalla polizia scientifica (allegato 16 al Rapporto di polizia 25 luglio 2008).</w:t>
      </w:r>
    </w:p>
    <w:p>
      <w:r>
        <w:rPr>
          <w:b/>
        </w:rPr>
        <w:t>E. 8</w:t>
      </w:r>
    </w:p>
    <w:p>
      <w:r>
        <w:t>Verificata dufficio la presenza di gravi indizi di reato ci si può astenere dallanalizzare la presenza (e la concretezza) di almeno una delle condizioni alternative a giustificazione del mantenimento dalla misura restrittiva della libertà, vista ladesione o, se si preferisce, lassenza di contestazioni da parte della difesa.</w:t>
      </w:r>
    </w:p>
    <w:p>
      <w:r>
        <w:t>A titolo abbondanziale, comunque, si constata che gli elementi concreti a sostegno di un pericolo di recidiva e di fuga indicati dal magistrato inquirente a pagina 5 dellistanza appaiono tuttaltro che labili se si considerano, oltre agli elementi appena richiamati, lattuale assenza di una fissa dimora e di un qualunque interesse a rimanere a disposizione dellautorità inquirente (cfr. generalità in AI 24; verbale AI 41, p. 2 e 4) per il pericolo di fuga e il contenuto del referto peritale agli atti dal il 5 agosto 2008 (cfr. in particolare il punti 3 ss. a partire da pag. 45 ss., e considerato che la documentazione mancante che seguirà  cfr. scritto accompagnatorio di stessa data- non ha impedito le conclusioni).</w:t>
      </w:r>
    </w:p>
    <w:p>
      <w:r>
        <w:rPr>
          <w:b/>
        </w:rPr>
        <w:t>E. 9</w:t>
      </w:r>
    </w:p>
    <w:p>
      <w:r>
        <w:t>In assenza di una richiesta ex art. 106 CPP, resta da determinare se la detenzione cautela, tenuto conto della proroga richiesta, non sia lesiva del principio di proporzionalità (nella duplice prospettivache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w:t>
      </w:r>
    </w:p>
    <w:p>
      <w:r>
        <w:t>In relazione al primo aspetto, nel caso specifico si constata che il carcere preventivo sofferto (ca. 6 mesi) non appare lesivo del principio di proporzionalità: i reati ascritti sono molteplici e in parte oggettivamente gravi (in ragione del bene giuridico protetto: artt. 122, 123, 129, 156 CP) e/o con comminatorie di pena importanti (si vedano in particolare gli artt. 122, 129, 140); il rischio di pena effettivo, in caso di condanna, è certamente superiore alla detenzione preventiva sin qui sofferta ed anche a quella prevedibilmente da soffrire con la concessione della proroga richiesta (la cui entità appare congrua alle necessità di completazione e chiusura dellistruttoria).</w:t>
      </w:r>
    </w:p>
    <w:p>
      <w:r>
        <w:t>PQM</w:t>
      </w:r>
    </w:p>
    <w:p>
      <w:r>
        <w:t>visti gli artt. 122, 123,126, 129, 139, 140, 144, 156, 180, 181, 186 CP, 19 cifra 1 e 19a LFStup, 33 Larm, CP, 95 ss., 102, 103, 106, 280 ss. 283, 284 CPP, 10, 29, 31 CF,</w:t>
      </w:r>
    </w:p>
    <w:p>
      <w:r>
        <w:t>decide</w:t>
      </w:r>
    </w:p>
    <w:p>
      <w:r>
        <w:t>1.Listanza di proroga è accolta.</w:t>
      </w:r>
    </w:p>
    <w:p>
      <w:r>
        <w:t>§   Di conseguenza la detenzione preventiva cui è astretto __________ è prorogata fino al15 ottobre 2008(compreso).</w:t>
      </w:r>
    </w:p>
    <w:p>
      <w:r>
        <w:t>2.   Non si prelevano tasse e spese.</w:t>
      </w:r>
    </w:p>
    <w:p>
      <w:r>
        <w:t>3.   La presente decisione è impugnabile davanti alla CRP, Lugano, entro 10 giorni dalla            notifica.</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