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TI-98778 vom 31. Juli 2008</w:t>
      </w:r>
    </w:p>
    <w:p>
      <w:r>
        <w:t>TI Tribunale d'appello, 2008-07-31, IT</w:t>
      </w:r>
    </w:p>
    <w:p>
      <w:r>
        <w:rPr>
          <w:b/>
        </w:rPr>
        <w:t xml:space="preserve">Quelle: </w:t>
      </w:r>
      <w:r>
        <w:t>https://mcp.opencaselaw.ch/entscheid/ti_gerichte_TI-98778</w:t>
      </w:r>
    </w:p>
    <w:p>
      <w:r>
        <w:t>FR: TI_GERICHTE TI-98778 du 31 juillet 2008</w:t>
      </w:r>
    </w:p>
    <w:p>
      <w:r>
        <w:t>IT: TI_GERICHTE TI-98778 del 31 luglio 2008</w:t>
      </w:r>
    </w:p>
    <w:p>
      <w:pPr>
        <w:pStyle w:val="Heading2"/>
      </w:pPr>
      <w:r>
        <w:t>Erwägungen</w:t>
      </w:r>
    </w:p>
    <w:p>
      <w:r>
        <w:rPr>
          <w:b/>
        </w:rPr>
        <w:t>E. 12</w:t>
      </w:r>
    </w:p>
    <w:p>
      <w:r>
        <w:t>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w:t>
      </w:r>
    </w:p>
    <w:p>
      <w:r>
        <w:t>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in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w:t>
      </w:r>
    </w:p>
    <w:p>
      <w:r>
        <w:t>PQM</w:t>
      </w:r>
    </w:p>
    <w:p>
      <w:r>
        <w:t>visti gli artt.111, 122, 133,134 CP, 95 ss., 102, 103, 280 ss. 283, 284 CPP, 10, 29, 31 CF,</w:t>
      </w:r>
    </w:p>
    <w:p>
      <w:r>
        <w:t>decide</w:t>
      </w:r>
    </w:p>
    <w:p>
      <w:r>
        <w:t>1.Listanza di proroga è parzialmente accolta.</w:t>
      </w:r>
    </w:p>
    <w:p>
      <w:r>
        <w:t>§   Di conseguenza la detenzione preventiva cui è astretto __________ è prorogata fino al2 ottobre 2008(compreso).</w:t>
      </w:r>
    </w:p>
    <w:p>
      <w:r>
        <w:t>2.   Non si prelevano tasse e spese.</w:t>
      </w:r>
    </w:p>
    <w:p>
      <w:r>
        <w:t>3.   La presente decisione è impugnabile davanti alla CRP, Lugano, entro 10 giorni dalla            notifica.</w:t>
      </w:r>
    </w:p>
    <w:p>
      <w:r>
        <w:t>4.Intimazione (considerato il prefestivo la presente viene anticipata via telefax, ritenuto che il termine per limpugnazione decorre dallintimazione per posta):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