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TI-98691 vom 18. Juni 2008</w:t>
      </w:r>
    </w:p>
    <w:p>
      <w:r>
        <w:t>TI Tribunale d'appello, 2008-06-18, IT</w:t>
      </w:r>
    </w:p>
    <w:p>
      <w:r>
        <w:rPr>
          <w:b/>
        </w:rPr>
        <w:t xml:space="preserve">Quelle: </w:t>
      </w:r>
      <w:r>
        <w:t>https://mcp.opencaselaw.ch/entscheid/ti_gerichte_TI-98691</w:t>
      </w:r>
    </w:p>
    <w:p>
      <w:r>
        <w:t>FR: TI_GERICHTE TI-98691 du 18 juin 2008</w:t>
      </w:r>
    </w:p>
    <w:p>
      <w:r>
        <w:t>IT: TI_GERICHTE TI-98691 del 18 giugno 2008</w:t>
      </w:r>
    </w:p>
    <w:p>
      <w:pPr>
        <w:pStyle w:val="Heading2"/>
      </w:pPr>
      <w:r>
        <w:t>Erwägungen</w:t>
      </w:r>
    </w:p>
    <w:p>
      <w:r>
        <w:rPr>
          <w:b/>
        </w:rPr>
        <w:t>E. 1</w:t>
      </w:r>
    </w:p>
    <w:p>
      <w:r>
        <w:t>Il reclamo, presentato tempestivamente dall'accusato e destinatario della decisione, è ricevibile in ordine.</w:t>
      </w:r>
    </w:p>
    <w:p>
      <w:r>
        <w:rPr>
          <w:b/>
        </w:rPr>
        <w:t>E. 2</w:t>
      </w:r>
    </w:p>
    <w:p>
      <w:r>
        <w:t>Per quanto concerne la richiesta di assunzione di ulteriori prove nella fase predibattimentale, valgono i principi seguenti:</w:t>
      </w:r>
    </w:p>
    <w:p>
      <w:r>
        <w:t>"a)</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diNiklaus Schmid(Strafprozessrecht, 3.Aufl. Zürich 1997, margin. 270, con rinvii a DTF 103 Ia 491 et al. in nota 321) wenn sie den rechtlich relevanten Sachverhalt als genügend geklärt erachten.Di conseguenza, non è data violazione dellart. 6 CEDU se il giudice del merito rifiuta un mezzo di prova dopo averne esaminato la pertinenza (v.Frowein/Peukert, loc. cit., nota 203 ad art. 6 CEDU, con rinvio al noto caso Vidal; come qui, v. decisione 17 giugno 1998 in re F.F., inc. GIAR 55.98.1 consid. 1).</w:t>
      </w:r>
    </w:p>
    <w:p>
      <w:r>
        <w:t>(GIAR 14 gennaio 2004, 237.2003.11)</w:t>
      </w:r>
    </w:p>
    <w:p>
      <w:r>
        <w:rPr>
          <w:b/>
        </w:rPr>
        <w:t>E. 3</w:t>
      </w:r>
    </w:p>
    <w:p>
      <w:r>
        <w:t>Per quanto riguarda l'esecuzione di una perizia sulla credibilità/attendibilità della parte civile __________ va osservato quanto segue.</w:t>
      </w:r>
    </w:p>
    <w:p>
      <w:r>
        <w:t>a)</w:t>
      </w:r>
    </w:p>
    <w:p>
      <w:r>
        <w:t>b)</w:t>
      </w:r>
    </w:p>
    <w:p>
      <w:r>
        <w:t>Quanto agli altri elementi indicati, il fatto che la vittima sia minorenne, da solo, non basta per imporre una perizia, come detto il TF si riferisce esplicitamente ai bambini (meglio, ai bambini piccoli: "petits enfants" DTF 129 IV 179; si veda anche Assise criminali 72.2003.26, cons. 23) le cui dichiarazioni (rispettivamente la relativa genesi) possono essere di difficile lettura ("la raison d'être des expertises de crédibilité est d'expliciter les déclarations d'enfants qui, nottament pour des raisons d'âge, ne sont pas à même d'exprimer clairement certains événements qui les touchent" OCA GE 30.01.2003, P/3146/01), così come non basta asserire che la presunta vittima e immatura e contraddittoria senza indicare cosa si intenda con tali espressioni e quali elementi concreti (agli atti) permettano di giungere a quelle conclusioni (non si vede per quale motivo per ordinare una perizia di credibilità/attendibilità non si debba pretendere l'esistenza e l'indicazione di fondati motivi per ritenere il caso come "particolare" in analogia con i dettami giurisprudenziali in materia di perizia ex art. art. 13 CP -DTF 116 IV 274, DTF 119 IV 120).</w:t>
      </w:r>
    </w:p>
    <w:p>
      <w:r>
        <w:t>La presunta vittima non è un bambino piccolo, ella si esprime con proprietà di linguaggio e non è quindi necessario ricorrere allausilio di uno specialista per interpretare (quasi tradurre in un linguaggio adulto) le sue dichiarazioni. Emerge dalla visione delle audizioni videoregistrate e anche dalla lettura delle trascrizioni delle stesse che __________ sa indicare con precisione le parti del corpo e le varie tipologie di rapporti sessuali e, quando non capisce la domanda dellinterrogante, chiede spiegazioni in merito: con il che appare perlomeno evidente che le risposte non vengono date a casaccio o come nel tentativo di compiacere linterrogante (tantè che quando lagente interrogante sbaglia nel riassumere il racconto della presunta vittima sullinizio dei rapporti sessuali con laccusato la stessa non accondiscende ma lo corregge: Ancora a p. 29 della trascrizione della seconda audizione la presunta vittima, dopo avere in un primo momento assecondato la verbalizzante, che riassumeva erroneamente la cronologia degli eventi, ha trovato la presenza di spirito per correggersi e dichiarare che con__________ aveva avuto il suo primo rapporto sessuale in assoluto e basta, decisione GIAR 14.03.08, p. 4, INC.2007.57804).</w:t>
      </w:r>
    </w:p>
    <w:p>
      <w:r>
        <w:t>e)</w:t>
      </w:r>
    </w:p>
    <w:p>
      <w:r>
        <w:t>Da tutto quanto sopra consegue che, così come motivate, né l'istanza né il reclamo forniscono elementi sufficienti (e sufficientemente precisi) per ritenere di trovarsi in un caso particolare, così come previsto dalla giurisprudenza del Tribunale federale, che esige l'espletamento di una perizia di credibilità/attendibilità sulle dichiarazioni della minore tanto da dover annullare la decisione del magistrato inquirente.</w:t>
      </w:r>
    </w:p>
    <w:p>
      <w:r>
        <w:t>Restano, ovviamente, riservate le competenze del giudice del merito.</w:t>
      </w:r>
    </w:p>
    <w:p>
      <w:r>
        <w:rPr>
          <w:b/>
        </w:rPr>
        <w:t>E. 5</w:t>
      </w:r>
    </w:p>
    <w:p>
      <w:r>
        <w:t>In conclusione il reclamo è respinto con la presente decisione, definitiva (a livello cantonale). Tasse spese e ripetibili seguono la soccombenza.</w:t>
      </w:r>
    </w:p>
    <w:p>
      <w:r>
        <w:t>P.Q.M.</w:t>
      </w:r>
    </w:p>
    <w:p>
      <w:r>
        <w:t>viste le norme applicabili, in particolare gli artt. 187, 189, 190, 219 CP, 1 ss., 113 ss., 196, 280 ss., 284e contrarioCPP,</w:t>
      </w:r>
    </w:p>
    <w:p>
      <w:r>
        <w:t>decide</w:t>
      </w:r>
    </w:p>
    <w:p>
      <w:r>
        <w:t>1.Il reclamo è respinto ai sensi dei considerandi.</w:t>
      </w:r>
    </w:p>
    <w:p>
      <w:r>
        <w:t>2.La tassa di giustizia, fissata in FRS 600.- e le spese di FRS 250.- sono a carico del reclamante, il quale assegnerà CHF 375.- di ripetibili alla parte civile __________</w:t>
      </w:r>
    </w:p>
    <w:p>
      <w:r>
        <w:t>3.La presente decisione è definitiva.</w:t>
      </w:r>
    </w:p>
    <w:p>
      <w:r>
        <w:t>4.Intimazione (con le osservazioni delle parti):</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