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TI-98199 vom 13. Juni 2008</w:t>
      </w:r>
    </w:p>
    <w:p>
      <w:r>
        <w:t>TI Tribunale d'appello, 2008-06-13, IT</w:t>
      </w:r>
    </w:p>
    <w:p>
      <w:r>
        <w:rPr>
          <w:b/>
        </w:rPr>
        <w:t xml:space="preserve">Quelle: </w:t>
      </w:r>
      <w:r>
        <w:t>https://mcp.opencaselaw.ch/entscheid/ti_gerichte_TI-98199</w:t>
      </w:r>
    </w:p>
    <w:p>
      <w:r>
        <w:t>FR: TI_GERICHTE TI-98199 du 13 juin 2008</w:t>
      </w:r>
    </w:p>
    <w:p>
      <w:r>
        <w:t>IT: TI_GERICHTE TI-98199 del 13 giugno 2008</w:t>
      </w:r>
    </w:p>
    <w:p>
      <w:pPr>
        <w:pStyle w:val="Heading2"/>
      </w:pPr>
      <w:r>
        <w:t>Erwägungen</w:t>
      </w:r>
    </w:p>
    <w:p>
      <w:r>
        <w:rPr>
          <w:b/>
        </w:rPr>
        <w:t>E. 1</w:t>
      </w:r>
    </w:p>
    <w:p>
      <w:r>
        <w:t>__________, accusata e detenuta, è pacificamente legittimata a presentare istanza di libertà provvisoria. Il preavviso e l'incarto sono stati trasmessi tempestivamente ai sensi dell'art. 108 cpv. 1 CPP: in particolare, il preavviso e l'incarto sono stati contestualmente recapitati brevi manu a questo ufficio la mattina del 12 giugno 2008 (ex art. 20 cpv. 1 CPP); il termine di cui all'art. 108 cpv. 2 CPP scade lunedì 16 giugno 2008 (ex art. 20 cpv. 3 CPP).</w:t>
      </w:r>
    </w:p>
    <w:p>
      <w:r>
        <w:rPr>
          <w:b/>
        </w:rPr>
        <w:t>E. 2</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giàla Cameradei ricorsi penali, non restringe la sua cognizione all'arbitrio (REP 1980 pag. 128)."</w:t>
      </w:r>
    </w:p>
    <w:p>
      <w:r>
        <w:t>(per tutte: sentenza GIAR 21.12.2001 in re G., inc. 520.2001.5)</w:t>
      </w:r>
    </w:p>
    <w:p>
      <w:r>
        <w:rPr>
          <w:b/>
        </w:rPr>
        <w:t>E. 3</w:t>
      </w:r>
    </w:p>
    <w:p>
      <w:r>
        <w:t>L'esistenza di gravi e concreti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w:t>
      </w:r>
    </w:p>
    <w:p>
      <w:r>
        <w:t>Occorre innanzitutto precisare che, contrariamente a quanto sostenuto dalla difesa, ai fatti addebitati allaccusata non torna applicabile lart. 172 ter CP, essendo lintenzione dellautore determinante e non il risultato effettivamente ottenuto (cfr. DTF 123 IV 119; 122 IV 159): in concreto, anche volendo prescindere dal fatto che le dichiarazioni rilasciate dallaccusata istante quo al valore della refurtiva contrastano con quelle delle parti lese (__________), è innegabile che lintenzione di chi commette furti in abitazioni non è certo quella di impossessarsi di beni di poco valore. Inoltre, dagli atti emergono elementi sufficientemente concreti per ritenere dato il reato di furto aggravato ai sensi dellart. 139 cifra 2 e 3 CP, in quanto commesso in banda  per la quale sono sufficienti due persone e una certa reiterazione (cfr. B. Corboz, Le infractions en droit suisse, ed. 2002, ad art. 139 CP, p. 240 e 241, ATF 124 IV 88)  e per mestiere  l'autore agisce professionalmente quando, a causa del tempo e dei mezzi consacrati alla sua attività delittuosa, come pure della frequenza degli atti durante un determinato periodo e dei redditi sperati o conseguiti, risulti che egli esercita la propria attività delittuosa alla stessa stregua di una professione, anche accessoria; è determinante che l'agente abbia deciso di procurarsi mediante la propria attività delittuosa redditi relativamente regolari, che contribuiscono in modo non trascurabile a soddisfare i suoi bisogni (cfr. B. Corboz, op. cit., p. 240 con rif.): nel caso in esame, si può ritenere, anche alla luce delle dichiarazioni rese dalle accusate, la volontà di associarsi al fine di commettere più infrazioni indipendenti, anche se non ancora determinate, entrambe hanno infatti dichiarato di essere venute insieme in Svizzera per commettere furti, e non una sola volta, gli attrezzi ed i guanti in lattice rinvenuti in loro possesso, nonché le modalità da utilizzate (furti con scasso), denotano pure una certa organizzazione ed esperienza, rilevato inoltre che entrambe non svolgono alcuna attività lavorativa.</w:t>
      </w:r>
    </w:p>
    <w:p>
      <w:r>
        <w:t>Ciò premesso, sono senz'altro dati sufficienti indizi di colpevolezza a carico di __________ per i reati di cui viene accusata, come peraltro emerge dalle dichiarazioni rese dallaccusata stessa, da ultimo nel verb. PP 6 giugno 2008, noto alle parti, al quale si rinvia integralmente.</w:t>
      </w:r>
    </w:p>
    <w:p>
      <w:r>
        <w:rPr>
          <w:b/>
        </w:rPr>
        <w:t>E. 4</w:t>
      </w:r>
    </w:p>
    <w:p>
      <w:r>
        <w:t>In merito ai bisogni istruttori atti a giustificare la detenzione preventiva ed il suo perdurare, vi é consolidata giurisprudenza (e dottrina):</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Nello stesso senso, la CRP:</w:t>
      </w:r>
    </w:p>
    <w:p>
      <w:r>
        <w:t>"I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68 n. 13; G. Piquerez, op. cit. n. 2344 ss.)"</w:t>
      </w:r>
    </w:p>
    <w:p>
      <w:r>
        <w:t>(sentenza 16 settembre2004 inre B., CRP 60.2004.297)</w:t>
      </w:r>
    </w:p>
    <w:p>
      <w:r>
        <w:t>Riassumendo, per il mantenimento della carcerazione preventiva dell'accusato, non basta che vi siano ancora atti istruttori da esperire, ma è necessario che la prematura rimessa in libertà dell'accusato possa essere di nocumento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w:t>
      </w:r>
    </w:p>
    <w:p>
      <w:r>
        <w:t>Va da sé che i criteri sopra esposti richiedono applicazione più restrittiva allorquando l'inchiesta (e la detenzione) è in corso da un certo tempo.</w:t>
      </w:r>
    </w:p>
    <w:p>
      <w:r>
        <w:t>Per quanto concerne i bisogni dell'inchiesta, il Procuratore pubblico evidenzia che, sulla scorta delle dichiarazioni di __________ e dei dati forniti dalle compagnie telefoniche quo alla presenza dellaccusata su suolo elvetico, sono stati chiesti i tabulati retroattivi di tale periodo relativi allutenza in uso allistante, per sua stessa ammissione da parecchio tempo (cfr. verb. pol. 22.05.2008 e ordine di sorveglianza 10.06.2008, approvato da questo giudice il giorno successivo), che permetteranno di verificare la presenza dellaccusata in Svizzera in concomitanza di furti e quindi verificarne la sua eventuale partecipazione, risultanze che dovranno poi essere contestate ad entrambe le accusate, senza il rischio di collusione fra le due.</w:t>
      </w:r>
    </w:p>
    <w:p>
      <w:r>
        <w:t>Il fatto che i suddetti atti istruttori non siano ancora stati effettuati, non può essere (ancora) ritenuto lesivo del principio di proporzionalità, tenuto conto del fatto che l'inchiesta è stata sin qui condotta in modo celere e preciso; lautorità inquirente è comunque invitata a procedere celermente agli accertamenti mancanti, peraltro limitati ed esperibili in tempi brevi (nel rispetto dell'art. 102 cpv. 1 CPP).</w:t>
      </w:r>
    </w:p>
    <w:p>
      <w:r>
        <w:t>Tutto ciò premesso la scarcerazione di __________ appare ancora prematura.</w:t>
      </w:r>
    </w:p>
    <w:p>
      <w:r>
        <w:rPr>
          <w:b/>
        </w:rPr>
        <w:t>E. 5</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 (M. Luvini, I presupposti materiali del carcere preventivo, in REP 1989 p. 287ss., p. 32; DTF 106 Ia 404; DTF 117 Ia 69; CEDU Vol.A IX p. 44; SJ 1981 p. 377, SJ 1980 186; N. Schmid, Strafprozessrecht, ZH 1997, no. 701).GIAR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rPr>
          <w:b/>
        </w:rPr>
        <w:t>E. 6</w:t>
      </w:r>
    </w:p>
    <w:p>
      <w:r>
        <w:t>Stabilita lesistenza di bisogni dellinchiesta e pericolo di fuga, quali motivi di interesse pubblico a giustificazione del mantenimento del carcere preventivo ci si può esimere dallanalizzare il paventato pericolo di recidiva e non tanto perché non sia dato in quanto non considerato al momento della conferma dellarresto (daltronde non erano noti a questo giudice i furti successivamente ammessi dallaccusata) dal momento che lindividuazione di una delle condizioni alternative a fondamento della detenzione cautelare è comunque sufficiente alla decisione, senza che sia necessario esaminarle tutte (cfr. GIAR 7.12.2004, inc. 2004.56103).</w:t>
      </w:r>
    </w:p>
    <w:p>
      <w:r>
        <w:rPr>
          <w:b/>
        </w:rPr>
        <w:t>E. 7</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(lart. 139 cifra 2 prevede una pena minima edittale non inferiore a 90 aliquote giornaliere e lart. 139 cifra una pena edittale non inferiore a 180 aliquote) è certamente superiore al carcere sin qui sofferto (circa 1 mese) e quello ancora da soffrire (linchiesta non è ancora conclusa, ma sembrano comunque previsti tempi brevi alla luce dei limitati ulteriori atti dinchiesta da effettuare). Gli inquirenti hanno sino ad ora proceduto con celerità, non si ravvisano tempi morti e linchiesta non si trova, né si è mai trovata, in una situazione di stallo e neppure vi sono stati ritardi ingiustificati (cfr. DTF 16.11.2004, 1P630/2004).</w:t>
      </w:r>
    </w:p>
    <w:p>
      <w:r>
        <w:t>Ribadito, in ogni caso, l'obbligo per il magistrato inquirente di trattare con priorità i casi in cui l'accusato è in detenzione, con il formale invito allattenzione ai precetti di celerità (art. 102 cpv. 1 e 176 cpv. 3 CPPT) che vogliono contenimento della possibile carcerazione preventiva, ciò che appare sufficiente, senza che sia necessaria, come invece postulato dalla difesa, la fissazione di un termine.</w:t>
      </w:r>
    </w:p>
    <w:p>
      <w:r>
        <w:t>Da ultimo per quanto concerne lo stato di gravidanza di __________, si rileva che alla stessa è comunque garantita assistenza medica e che comunque la circostanza di essere incinta non le ha impedito di venire in Svizzera (3 volte nel solo mese di maggio, cfr. verb. pol. 22.05.2008 e PP 6.06.2008) per commettere furti.</w:t>
      </w:r>
    </w:p>
    <w:p>
      <w:r>
        <w:rPr>
          <w:b/>
        </w:rPr>
        <w:t>E. 8</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nel rispetto dei principi di proporzionalità e celerità nei termini suesposti. La detenzione sin qui sofferta non viola (al momento attuale) il principio di proporzionalità, né lobbligo di celerità.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gli articoli 139, 144, 186 CP, 95ss, 102, 103, 279ss, 284 CPP,</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