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TI-96560 vom 28. Dezember 2007</w:t>
      </w:r>
    </w:p>
    <w:p>
      <w:r>
        <w:t>TI Tribunale d'appello, 2007-12-28, IT</w:t>
      </w:r>
    </w:p>
    <w:p>
      <w:r>
        <w:rPr>
          <w:b/>
        </w:rPr>
        <w:t xml:space="preserve">Quelle: </w:t>
      </w:r>
      <w:r>
        <w:t>https://mcp.opencaselaw.ch/entscheid/ti_gerichte_TI-96560</w:t>
      </w:r>
    </w:p>
    <w:p>
      <w:r>
        <w:t>FR: TI_GERICHTE TI-96560 du 28 décembre 2007</w:t>
      </w:r>
    </w:p>
    <w:p>
      <w:r>
        <w:t>IT: TI_GERICHTE TI-96560 del 28 dicembre 2007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dicembre 2007, 520.2007.1, cons. 8.a.) che deve essere qui constatato;</w:t>
      </w:r>
    </w:p>
    <w:p>
      <w:r>
        <w:t>-   la constatazione della denegata giustizia ha quale conseguenza il rinvio dellincarto al magistrato inquirente affinché si esprima (e lo faccia sollecitamente vista la già avvenuta emanazione di un decreto che potrebbe passare in giudizio e sul quale questo ufficio non può formalmente intervenire), in merito allaltra imputazione oggetto di informazioni preliminari, emanando la decisione di sua competenza, ritenuto che la scelta della specifica decisione compete a lui solo:</w:t>
      </w:r>
    </w:p>
    <w:p>
      <w:r>
        <w:t>La decisione di promozione dellaccusa (così come quelle di non luogo a procedere, abbandono o rinvio a giudizio) è una decisione che rientra nella stretta pertinenza funzionale dellinquirente. Il GIAR non può (in caso di rifiuto o pretesa omissione dellinquirente stesso) sostituirsi allinquirente imponendo lemanazione di una decisione specifica e/o determinando il momento (in relazione ad eventuale assetto probatorio) di tale emanazione (L. Marazzi, Il GIAR arbitro nel procedimento penale, 2001, p. 18/19; GIAR 9 settembre 1997, 531.97.1). Questo ufficio può solo, se del caso, constatare una ritardata o denegata giustizia invitando l'inquirente a procedere negli incombenti di sua competenza (L. Marazzi, op. cit., ibidem), a quest'ultimo rimanendo comunque la scelta dell'atto da effettuare, che può essere sia una delle decisioni menzionate sopra ma anche la prosecuzione effettiva delle informazioni preliminari o dellistruttoria formale (con riserva in caso di manifesti abusi) ai fini di raggiungere lo scopo della specifica fase procedurale.</w:t>
      </w:r>
    </w:p>
    <w:p>
      <w:r>
        <w:t>(GIAR 4 giugno 2006, 53.2004.1; GIAR 18 maggio 2004, 338.2003.5).</w:t>
      </w:r>
    </w:p>
    <w:p>
      <w:r>
        <w:t>P.Q.M.</w:t>
      </w:r>
    </w:p>
    <w:p>
      <w:r>
        <w:t>Viste le norme applicabili, in particolare gli artt. 90 cifra 2 LCStr, 122 e 125 CP, 1 ss., 6, 184, 186, 188 ss., 207 a, 210, 212, 280 ss., 284 e contrario CPP, 29 CF,</w:t>
      </w:r>
    </w:p>
    <w:p>
      <w:r>
        <w:t>decide</w:t>
      </w:r>
    </w:p>
    <w:p>
      <w:r>
        <w:t>1.Il reclamo, nella misura in cui chiede costatazione di denegata giustizia, è accolto ai sensi dei considerandi.</w:t>
      </w:r>
    </w:p>
    <w:p>
      <w:r>
        <w:t>2.Lincarto è ritornato al magistrato inquirente, con invito a procedere a quanto di sua competenza, ai sensi dei considerandi.</w:t>
      </w:r>
    </w:p>
    <w:p>
      <w:r>
        <w:t>3.La tassa di giustizia, stabilita in FRS 400.-, e le spese di FRS 120.-, sono a carico dello Stato del cantone Ticino che rifonderà al reclamante FRS 540.- a titolo di ripetibili.</w:t>
      </w:r>
    </w:p>
    <w:p>
      <w:r>
        <w:t>4.La presente decisione è definitiva a livello cantonale.</w:t>
      </w:r>
    </w:p>
    <w:p>
      <w:r>
        <w:t>5.Intimazione:</w:t>
      </w:r>
    </w:p>
    <w:p>
      <w:r>
        <w:t>6.Copia per conoscenza: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