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TI-96196 vom 5. Dezember 2002</w:t>
      </w:r>
    </w:p>
    <w:p>
      <w:r>
        <w:t>TI Tribunale d'appello, 2002-12-05, IT</w:t>
      </w:r>
    </w:p>
    <w:p>
      <w:r>
        <w:rPr>
          <w:b/>
        </w:rPr>
        <w:t xml:space="preserve">Quelle: </w:t>
      </w:r>
      <w:r>
        <w:t>https://mcp.opencaselaw.ch/entscheid/ti_gerichte_TI-96196</w:t>
      </w:r>
    </w:p>
    <w:p>
      <w:r>
        <w:t>FR: TI_GERICHTE TI-96196 du 5 décembre 2002</w:t>
      </w:r>
    </w:p>
    <w:p>
      <w:r>
        <w:t>IT: TI_GERICHTE TI-96196 del 5 dicembre 2002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novembre 2002, non ancora istruita (v. comunicazione 2 dicembre 2002 del Procuratore pubblico avv. Mario Branda), e ciò per dissidi d'ordine commerciale;</w:t>
      </w:r>
    </w:p>
    <w:p>
      <w:r>
        <w:t>-in applicazione dell'art. 57 CP, l'istante postula conseguentemente l'adozione di misure appropriate, secondo il libero apprezzamento di questo giudice;</w:t>
      </w:r>
    </w:p>
    <w:p>
      <w:r>
        <w:t>-l'art. 57 cpv. 1 CP dispone che "se vi è ragione di temere che chi ha proferito la minaccia di commettere un crimine o un delitto lo compia effettivamente, o se chi è già stato condannato per un crimine o un delitto manifesta l'intenzione determinata di ripeterlo, il giudice, a richiesta della persona minacciata, può esigere da lui la promessa di non commetterla e obbligarlo a prestare adeguata cauzione";</w:t>
      </w:r>
    </w:p>
    <w:p>
      <w:r>
        <w:t>-richiamando il giudizio in REP 1997 n. 88, l'applicazione di questo istituto desta perlomeno delle perplessità (decisione 6 aprile 1994 in re C. c/ B., GIAR 24.93.1; v. anche decisione 1. febbraio 1995 in re G. c/ B., GIAR 204.94.10), come ai cenni rilevabili nella dottrina e meglio secondo Logoz "...des doutes ont été émis au sujet de l'utilité que de telles mesures peuvent avoir aujourd'hui en Suisse" (Commentaire du CPS, 1976, ad art. 57 nota 8); Schultz "...die Massnahme wird ausserordentlich selten verhängt" (Einführung in den allg. Teil des Strafrechts, 1982, pag. 200); Stratenwerth "...der Schutz, der sich auf solche Weise vermitteln lässt, ist jedoch sehr begrenzt...Es überrascht daher nicht, dass die Friedensbürgschaft fast ganz ausser Gebrauch gekommen ist..." ( Schw. Strafrecht, AT II, 1989, pag. 477), e riflesso di questi apprezzamenti è la quasi nulla giurisprudenza pubblicata del Tribunale federale (v. l'esempio in DTF 71 IV 72);</w:t>
      </w:r>
    </w:p>
    <w:p>
      <w:r>
        <w:t>-dal tenore e dallo scopo della norma in discussione si può dedurre, avuti presenti il principio di proporzionalità e le competenze ordinarie delle autorità penali inquirenti e giudicanti, che la minaccia e la tema di sua attuazione debbono essere importanti, serie e concrete: in questo senso non è sufficiente semplice sospetto o ipotesi né deve il giudice competente all'intimazione della misura procedere ad accertamenti propri (decisioni 13 maggio 1994 in re M.G., GIAR 1093.93.2; 13 giugno 1994 in re W.Z., GIAR 451.94.1);</w:t>
      </w:r>
    </w:p>
    <w:p>
      <w:r>
        <w:t>-nelle circostanze in discussione non emergono né sono provati nella loro estensione atteggiamenti reiterati di __________ e tali da assurgere ad inaccettabile e pericoloso comportamento: le indagini preliminari della Gendarmeria di __________ (v. il citato rapporto) in pratica nulla hanno provato in proposito, le affermazioni dell'istante essendo state respinte dalla controparte, e sulla nuova denuncia/querela non sono ancora a disposizione affidanti accertamenti, per cui appare più opportuno attendere gliapprofondimenti e gli esiti del procedimento penale, il Procuratore pubblico potendo in ogni modo intervenire con strumenti più immediati ed adeguati;</w:t>
      </w:r>
    </w:p>
    <w:p>
      <w:r>
        <w:t>-per queste ragioni la presente istanza è respinta con decisione definitiva (art. 284 cpv. 1 lett. a CPP e contrario:v. REP 1995 n. 96), senza carico di spese giudiziarie;</w:t>
      </w:r>
    </w:p>
    <w:p>
      <w:r>
        <w:t>visti i citati articoli di legge,</w:t>
      </w:r>
    </w:p>
    <w:p>
      <w:r>
        <w:t>decide:</w:t>
      </w:r>
    </w:p>
    <w:p>
      <w:r>
        <w:t>1.La domanda di cauzione preventiva è respinta.</w:t>
      </w:r>
    </w:p>
    <w:p>
      <w:r>
        <w:t>2.Non si percepiscono spese giudiziarie.</w:t>
      </w:r>
    </w:p>
    <w:p>
      <w:r>
        <w:t>3.La presente decisione è definitiva.</w:t>
      </w:r>
    </w:p>
    <w:p>
      <w:r>
        <w:t>Intimazione                                                                      giudice Claudio Lepori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