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TI-95768 vom 12. Oktober 2007</w:t>
      </w:r>
    </w:p>
    <w:p>
      <w:r>
        <w:t>TI Tribunale d'appello, 2007-10-12, IT</w:t>
      </w:r>
    </w:p>
    <w:p>
      <w:r>
        <w:rPr>
          <w:b/>
        </w:rPr>
        <w:t xml:space="preserve">Quelle: </w:t>
      </w:r>
      <w:r>
        <w:t>https://mcp.opencaselaw.ch/entscheid/ti_gerichte_TI-95768</w:t>
      </w:r>
    </w:p>
    <w:p>
      <w:r>
        <w:t>FR: TI_GERICHTE TI-95768 du 12 octobre 2007</w:t>
      </w:r>
    </w:p>
    <w:p>
      <w:r>
        <w:t>IT: TI_GERICHTE TI-95768 del 12 ottobre 2007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§.Di conseguenza lordine di sequestro del 19 aprile 2006 (precisato il 20 aprile 2006) relativo alla prestazione di libero passaggio __________ è revocato.</w:t>
      </w:r>
    </w:p>
    <w:p>
      <w:r>
        <w:t>§§.Alla crescita in giudicato della presente, potrà essere dato seguito all'ordine 5.7.2007 della __________</w:t>
      </w:r>
    </w:p>
    <w:p>
      <w:r>
        <w:t>2.La tassa di giustizia, fissata in FRS 400.-, e le spese di FRS 150.- rimangono a carico dello Stato.</w:t>
      </w:r>
    </w:p>
    <w:p>
      <w:r>
        <w:t>3.Contro la presente è dato ricorso alla CRP, Lugano, entro 10 (dieci) giorni dallintimazione.</w:t>
      </w:r>
    </w:p>
    <w:p>
      <w:r>
        <w:t>4.Intimazione (con copia delle osservazioni presentate dalle parti) a:</w:t>
      </w:r>
    </w:p>
    <w:p>
      <w:r>
        <w:t>giudice Edy Meli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