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TI-92201 vom 28. Juni 2001</w:t>
      </w:r>
    </w:p>
    <w:p>
      <w:r>
        <w:t>TI Tribunale d'appello, 2001-06-28, IT</w:t>
      </w:r>
    </w:p>
    <w:p>
      <w:r>
        <w:rPr>
          <w:b/>
        </w:rPr>
        <w:t xml:space="preserve">Quelle: </w:t>
      </w:r>
      <w:r>
        <w:t>https://mcp.opencaselaw.ch/entscheid/ti_gerichte_TI-92201</w:t>
      </w:r>
    </w:p>
    <w:p>
      <w:r>
        <w:t>FR: TI_GERICHTE TI-92201 du 28 juin 2001</w:t>
      </w:r>
    </w:p>
    <w:p>
      <w:r>
        <w:t>IT: TI_GERICHTE TI-92201 del 28 giugno 2001</w:t>
      </w:r>
    </w:p>
    <w:p>
      <w:pPr>
        <w:pStyle w:val="Heading2"/>
      </w:pPr>
      <w:r>
        <w:t>Erwägungen</w:t>
      </w:r>
    </w:p>
    <w:p>
      <w:r>
        <w:rPr>
          <w:b/>
        </w:rPr>
        <w:t>E. 1</w:t>
      </w:r>
    </w:p>
    <w:p>
      <w:r>
        <w:t>La legittimazione della reclamante è data. Lordine impugnato la tocca direttamente nei suoi propri interessi.</w:t>
      </w:r>
    </w:p>
    <w:p>
      <w:r>
        <w:t>Il reclamo è pure tempestivo.</w:t>
      </w:r>
    </w:p>
    <w:p>
      <w:r>
        <w:rPr>
          <w:b/>
        </w:rPr>
        <w:t>E. 2</w:t>
      </w:r>
    </w:p>
    <w:p>
      <w:r>
        <w:t>I principi generali in materia di perquisizione e sequestro possono essere riassunti come segue.</w:t>
      </w:r>
    </w:p>
    <w:p>
      <w:r>
        <w:t>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w:t>
      </w:r>
    </w:p>
    <w:p>
      <w:r>
        <w:t>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Das neue Einziehungsrecht nach Art. 58 ff. StGB, in: RPS 113 [1995], p. 321 ss., pto. 4.2.1 p. 331 e nota 45, con rinvii). Sottostanno a tale tipo di confisca ai sensi dellart. 59 cfr. 1 cpv. 1 CPS anche cosiddetti valori sostitutivi (Surrogate, v. Schmid, cit., pto. 4.3.2, p. 334 ss.).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 attribuiti direttamente alla parte lesa in applicazione dellart. 59 cfr. 1 cpv. 1 ultima frase CPS (v. Schmid, cit., pto. 4.4.1, p. 339). Infine,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Per non vanificare la portata di questa norma, il magistrato inquirente può ordinare il sequestro di tali beni a titolo probatorio, confiscatorio (art. 161 cpv. 1 e 2 lit. b CPP; v. Schmid, cit., pto. 6.3, p. 362) oppure risarcitorio (art. 59 cfr. 2 cpv. 3 CPS).</w:t>
      </w:r>
    </w:p>
    <w:p>
      <w:r>
        <w:t>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w:t>
      </w:r>
    </w:p>
    <w:p>
      <w:r>
        <w:t>Pacifico che anche il sequestro del provento di reato acquisito da un terzo (art. 59 cifra 1 cpv. 2), così come quello ai fini di garanzia del risarcimento compensatorio (art. 59 cifra 2 cpv. 3 CP) debbono rispettare i principi menzionati con la precisazione che la connessione ai fini del giudizio di merito è, nel secondo caso, lappartenenza del bene (o valore) alla sfera economica dellindiziato/accusato.</w:t>
      </w:r>
    </w:p>
    <w:p>
      <w:r>
        <w:t>Va subito detto che, di principio, il sequestro di una garanzia bancaria, così come di un pegno, non è escluso nellambito dellapplicazione degli artt. 161 CPP, in relazione con 58 e 59 CP (FF 1993, Volume III, p. 217 a 220.; GIAR 27.11.2000 in re BP; si veda pure per analogie con misure provvisionali in campo civile o esecutivo DTF 122 III 321, D. Guggenheim, Les contrats dans la pratique bancaire suisse, Ginevra 2000, p. 364 a 367).</w:t>
      </w:r>
    </w:p>
    <w:p>
      <w:r>
        <w:rPr>
          <w:b/>
        </w:rPr>
        <w:t>E. 3</w:t>
      </w:r>
    </w:p>
    <w:p>
      <w:r>
        <w:t>Questo giudice (richiamato il fatto che nellesame dellesistenza di gravi indizi di colpevolezza, deve imporsi precisi limiti, derivantigli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ha già avuto modo di determinare, in decisione parallela concernente lo stesso ordine di perquisizione e sequestro, che nel caso in esame i gravi indizi di reato sono dati.</w:t>
      </w:r>
    </w:p>
    <w:p>
      <w:r>
        <w:t>Considerato che la qui reclamante è terza per rapporto allinchiesta, si riprende unicamente lelemento principale per cui si è giunti a quella conclusione e cioè il fatto che più fonti indicano che i titoli depositati nellautunno del 2000 su di una relazione presso __________, titoli che sono stati messi a pegno per gli impegni  della __________ che, a sua volta, ha chiesto alla banca lemissione della garanzia oggetto del presente reclamo, provengono da un furto (scritto __________ 21 febbraio 2001 in AI 1; documentazione proveniente dalla polizia __________ trasmessa da UFP con scritto 6 marzo 2001 in AI 4).</w:t>
      </w:r>
    </w:p>
    <w:p>
      <w:r>
        <w:t>Questo ed altri elementi, che non è il caso di riprendere in questa sede (per la già menzionata sostanziale terzietà dei reclamanti al procedimento e considerato anche lesito della presente decisione), fanno si che le ipotesi accusatorie alla base dellordine impugnato (artt. 160 e 305 bis CP) non appaiono inverosimili e sono sufficienti a giustificare lordine di perquisizione e sequestro.</w:t>
      </w:r>
    </w:p>
    <w:p>
      <w:r>
        <w:rPr>
          <w:b/>
        </w:rPr>
        <w:t>E. 4</w:t>
      </w:r>
    </w:p>
    <w:p>
      <w:r>
        <w:t>Pacifico che lordine di non dar seguito alla garanzia non persegue fini probatori, per gli stessi bastando la perquisizione e lacquisizione della relativa documentazione.</w:t>
      </w:r>
    </w:p>
    <w:p>
      <w:r>
        <w:t>Per quanto concerne gli eventuali scopi confiscatori va detto quanto segue.</w:t>
      </w:r>
    </w:p>
    <w:p>
      <w:r>
        <w:t>Come giustamente osservato dal reclamante la garanzia bancaria a prima richiesta è un credito sotto forma dobbligazione, indipendente dal contratto di base tra beneficiario e debitore (oltre a quanto citato nel reclamo si vedano: D. Guggenheim, op. cit., p. 323 ss.; DTF 76 II 33). Tra beneficiario e garante vale solo quanto tra loro stipulato, il resto essendo res inter alios acta (T. Rossi, La garantie Bancaire a première demande, Losanna 1990, p. 127).</w:t>
      </w:r>
    </w:p>
    <w:p>
      <w:r>
        <w:t>Se è vero, in linea generale, che un credito può essere posto sotto sequestro (REP 1979 p. 199), così come un pegno (vedi cons. 2 in fine della presente) ed anche, per analogia, una garanzia bancaria, è altrettanto vero che se un terzo ha acquisito il credito, in casu mediante la garanzia, in buona fede e fornendo contro prestazione equivalente, la confisca non è più possibile (art. 59 cifra 1 cpv. 2 CP).</w:t>
      </w:r>
    </w:p>
    <w:p>
      <w:r>
        <w:t>Ciò vale anche allorquando è possibile un conflitto tra una delle persone lese dal reato ed il terzo acquirente in buona fede. Non è compito del diritto penale risolvere tale eventuale conflitto (FF 1993, vol III, p. 220).</w:t>
      </w:r>
    </w:p>
    <w:p>
      <w:r>
        <w:t>Nel caso in esame nessun sospetto di reato, o di malafede, è anche solo adombrato nei confronti della qui reclamante per quanto concerne l ottenimento della garanzia bancaria. Inoltre, vi è stata, sempre da parte della qui ricorrente, controprestazione mediante lerogazione del finanziamento richiesto (e garantito).</w:t>
      </w:r>
    </w:p>
    <w:p>
      <w:r>
        <w:t>Di conseguenza è pacifico che __________ possa e debba beneficiare della garanzia, non meno di quanto lo potrebbe fare il detentore di un pegno (CRP 6 agosto 1990 in re __________).</w:t>
      </w:r>
    </w:p>
    <w:p>
      <w:r>
        <w:t>Non trova applicazione, in questo contesto, largomento del Procuratore pubblico secondo cui ladempimento dellobbligo contenuto nella garanzia costituirebbe un vantaggio per la società riconducibile allindagato (diminuzione dellesposizione). Ciò sia per il fatto che comunque la reclamante è terzo in buona fede che ha fornito controprestazione, sia perché la diminuzione dellesposizione verso __________ non costituisce  annullamento della stessa ma, semmai trasferimento ad altro creditore (T. Rossi, op. cit., p. 128).</w:t>
      </w:r>
    </w:p>
    <w:p>
      <w:r>
        <w:t>Ovviamente quanto sopra vale nella misura in cui la prestazione garantita è già stata erogata, come accaduto nella presente fattispecie.</w:t>
      </w:r>
    </w:p>
    <w:p>
      <w:r>
        <w:rPr>
          <w:b/>
        </w:rPr>
        <w:t>E. 5</w:t>
      </w:r>
    </w:p>
    <w:p>
      <w:r>
        <w:t>La conclusione di cui sopra non comporta, comunque, lannullamento dellordine come tale, bensì la sua limitazione a quanto non necessario per coprire lesposizione della reclamante.</w:t>
      </w:r>
    </w:p>
    <w:p>
      <w:r>
        <w:t>Questo anche se, di fatto, tale esposizione è molto vicina allintero importo garantito, come si evince dai conteggi prodotti con il reclamo.</w:t>
      </w:r>
    </w:p>
    <w:p>
      <w:r>
        <w:t>Viste le norme applicabili ed in particolare gli artt. 160, 305 bis, 59 CP, 157 ss., 161 CPP, nonché 8, 29, 32, 35, 36 CF,</w:t>
      </w:r>
    </w:p>
    <w:p>
      <w:r>
        <w:t>decide</w:t>
      </w:r>
    </w:p>
    <w:p>
      <w:r>
        <w:t>1.Il reclamo è parzialmente accolto.</w:t>
      </w:r>
    </w:p>
    <w:p>
      <w:r>
        <w:t>2.Di conseguenza lordine dato a __________, di non onorare la garanzia bancaria n. __________ a favore di __________, è limitato a quanto non destinato a coprire la sua escussione a copertura dellesposizione dellIstituto garantito.</w:t>
      </w:r>
    </w:p>
    <w:p>
      <w:r>
        <w:t>3.La tassa di giustizia di fr. 300.- è a carico dello stato, che rifonderà alla reclamante fr. 200.- a titolo di ripetibili.</w:t>
      </w:r>
    </w:p>
    <w:p>
      <w:r>
        <w:t>4.Contro la presente decisione è dato reclamo alla CRP entro 10 giorni dallintimazione.</w:t>
      </w:r>
    </w:p>
    <w:p>
      <w:r>
        <w:t>5.Intimazione: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