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TI-90655 vom 25. September 2006</w:t>
      </w:r>
    </w:p>
    <w:p>
      <w:r>
        <w:t>TI Tribunale d'appello, 2006-09-25, IT</w:t>
      </w:r>
    </w:p>
    <w:p>
      <w:r>
        <w:rPr>
          <w:b/>
        </w:rPr>
        <w:t xml:space="preserve">Quelle: </w:t>
      </w:r>
      <w:r>
        <w:t>https://mcp.opencaselaw.ch/entscheid/ti_gerichte_TI-90655</w:t>
      </w:r>
    </w:p>
    <w:p>
      <w:r>
        <w:t>FR: TI_GERICHTE TI-90655 du 25 septembre 2006</w:t>
      </w:r>
    </w:p>
    <w:p>
      <w:r>
        <w:t>IT: TI_GERICHTE TI-90655 del 25 settembre 2006</w:t>
      </w:r>
    </w:p>
    <w:p>
      <w:pPr>
        <w:pStyle w:val="Heading2"/>
      </w:pPr>
      <w:r>
        <w:t>Erwägungen</w:t>
      </w:r>
    </w:p>
    <w:p>
      <w:r>
        <w:rPr>
          <w:b/>
        </w:rPr>
        <w:t>E. 1</w:t>
      </w:r>
    </w:p>
    <w:p>
      <w:r>
        <w:t>Il reclamo, tempestivamente introdotto da persona (giuridica) direttamente toccata dagli ordini impugnati, é ricevibile in ordine.</w:t>
      </w:r>
    </w:p>
    <w:p>
      <w:r>
        <w:rPr>
          <w:b/>
        </w:rPr>
        <w:t>E. 2</w:t>
      </w:r>
    </w:p>
    <w:p>
      <w:r>
        <w:t>In diritto si possono, innanzitutto, tranquillamente riprendere le considerazioni esposte nella contestuale decisione sul reclamo presentato da __________ contro gli stessi ordini di perquisizione e sequestro (sia quello del 3 luglio 2006, sia quello del 19 luglio 2006).</w:t>
      </w:r>
    </w:p>
    <w:p>
      <w:r>
        <w:t>E meglio:</w:t>
      </w:r>
    </w:p>
    <w:p>
      <w:r>
        <w:t>"2.</w:t>
      </w:r>
    </w:p>
    <w:p>
      <w:r>
        <w:t>I principi generali in materia di perquisizione e sequestro, sebbene noti ai patrocinatori delle parti ed al magistrato inquirente vengono qui di seguito riassunti con riferimento a precedenti sentenze.</w:t>
      </w:r>
    </w:p>
    <w:p>
      <w:r>
        <w:t>In generale, in materia di sequestro:</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le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ritenuto che, come in tutti gli istituti procedurali tali da intaccare eccezionalmente i diritti individuali per prevalenza di interesse pubblico, il sequestro è legittimo unicamente in presenza concorrente di sufficienti indizi di reato e di connessione tra questo e l'oggetto che così occorre salvaguardare agli incombenti dell'autorità requirente ed inquirente,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 Il sequestro di beni immobili avviene mediante blocco del registro fondiario (art. 161 cpv. 5 CPP)."</w:t>
      </w:r>
    </w:p>
    <w:p>
      <w:r>
        <w:t>(GIAR 13 dicembre 2004, 520.2004.1)</w:t>
      </w:r>
    </w:p>
    <w:p>
      <w:r>
        <w:t>Per quanto concerne, più specificamente il sequestro ai fini dell'applicazione degli artt. 58 e 59 CP:</w:t>
      </w:r>
    </w:p>
    <w:p>
      <w:r>
        <w:t>"2.</w:t>
      </w:r>
    </w:p>
    <w:p>
      <w:r>
        <w:t>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 dei suoi attivi o una diminuzione dei suoi passivi (v. Schmid, Kommentar, nota 17 ad art. 59 CPS).</w:t>
      </w:r>
    </w:p>
    <w:p>
      <w:r>
        <w:t>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w:t>
      </w:r>
    </w:p>
    <w:p>
      <w:r>
        <w:t>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w:t>
      </w:r>
    </w:p>
    <w:p>
      <w:r>
        <w:t>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w:t>
      </w:r>
    </w:p>
    <w:p>
      <w:r>
        <w:t>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inc.Giar 141.97.3, consid. 5 p. 6.; Niklaus Schmid, nota 82 ad art. 59 CPS, in: Schmid (Hrsg.), Kommentar Einziehung, organisiertes Verbrechen und Geldwäscherei, Band I, Zürich 1998).</w:t>
      </w:r>
    </w:p>
    <w:p>
      <w:r>
        <w:t>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w:t>
      </w:r>
    </w:p>
    <w:p>
      <w:r>
        <w:t>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w:t>
      </w:r>
    </w:p>
    <w:p>
      <w:r>
        <w:t>(GIAR 22 ottobre 2002, 39.2002.7)</w:t>
      </w:r>
    </w:p>
    <w:p>
      <w:r>
        <w:t>E, ancora, in materia di perquisizione e sequestro bancario:</w:t>
      </w:r>
    </w:p>
    <w:p>
      <w:r>
        <w:t>"7.</w:t>
      </w:r>
    </w:p>
    <w:p>
      <w:r>
        <w:t>...</w:t>
      </w:r>
    </w:p>
    <w:p>
      <w:r>
        <w:t>b)</w:t>
      </w:r>
    </w:p>
    <w:p>
      <w:r>
        <w:t>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w:t>
      </w:r>
    </w:p>
    <w:p>
      <w:r>
        <w:t>c)</w:t>
      </w:r>
    </w:p>
    <w:p>
      <w:r>
        <w:t>Va, inoltre ricordato, che l'ordine di perquisizione e sequestro indirizzato ad un istituto bancario, contiene due atti procedurali (o momenti procedurali, se si preferisce) tra loro distinti: quello della perquisizione e quello del sequestro.</w:t>
      </w:r>
    </w:p>
    <w:p>
      <w:r>
        <w:t>Ovviamente la prima precede, generalmente, il secondo e ne determina la fondatezza sia per quanto concerne la (successiva) acquisizione agli atti della documentazione e/o degli averi (REP 1997 no. 102; sentenza GIAR 2 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t>(GIAR 10 dicembre 2002, 627.2001.1)</w:t>
      </w:r>
    </w:p>
    <w:p>
      <w:r>
        <w:t>Nel caso qui in esame, ci si trova confrontati con un ordine di perquisizione bancario, assortito da sequestro sia di documenti sia degli attivi delle relazioni, e con un ordine di sequestro di beni immobili sotto forma di blocco a RF.</w:t>
      </w:r>
    </w:p>
    <w:p>
      <w:r>
        <w:t>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w:t>
      </w:r>
    </w:p>
    <w:p>
      <w:r>
        <w:t>Ciò giustifica, perlomeno per quanto concerne l'ordine di perquisizione e sequestro bancario, che ci si occupi in primo luogo del fondamento della perquisizione e solo successivamente, ed eventualmente, del sequestro.</w:t>
      </w:r>
    </w:p>
    <w:p>
      <w:r>
        <w:rPr>
          <w:b/>
        </w:rPr>
        <w:t>E. 3</w:t>
      </w:r>
    </w:p>
    <w:p>
      <w:r>
        <w:t>a)</w:t>
      </w:r>
    </w:p>
    <w:p>
      <w:r>
        <w:t>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w:t>
      </w:r>
    </w:p>
    <w:p>
      <w:r>
        <w:t>b)</w:t>
      </w:r>
    </w:p>
    <w:p>
      <w:r>
        <w:t>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w:t>
      </w:r>
    </w:p>
    <w:p>
      <w:r>
        <w:t>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w:t>
      </w:r>
    </w:p>
    <w:p>
      <w:r>
        <w:t>c)</w:t>
      </w:r>
    </w:p>
    <w:p>
      <w:r>
        <w:t>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"Ufficio __________ " in contenitore n. 10; in particolare: quaderno correntisti, cassa correntisti, cassa privata __________, ecc.).</w:t>
      </w:r>
    </w:p>
    <w:p>
      <w:r>
        <w:t>A dire del magistrato la documentazione in questione indizierebbe l'incasso personale di ricavi (attivi della società) e, quindi, la loro distrazione, rispettivamente la dissimulazione di attivi (art. 163 CP).</w:t>
      </w:r>
    </w:p>
    <w:p>
      <w:r>
        <w:t>__________ da un lato ha dichiarato che "può darsi che nel corso degli anni vi siano stati degli incassi in nero"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"c'entra niente"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w:t>
      </w:r>
    </w:p>
    <w:p>
      <w:r>
        <w:t>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w:t>
      </w:r>
    </w:p>
    <w:p>
      <w:r>
        <w:t>Non modifica questa conclusione l'affermazione del reclamante secondo cui gli accusati avrebbero, negli anni, immesso nella società importanti capitali come "dimostrato dai bilanci della __________";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"quaderno correntisti" ecc. non è ancora stato sentito nel dettaglio).</w:t>
      </w:r>
    </w:p>
    <w:p>
      <w:r>
        <w:t>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w:t>
      </w:r>
    </w:p>
    <w:p>
      <w:r>
        <w:t>d)</w:t>
      </w:r>
    </w:p>
    <w:p>
      <w:r>
        <w:t>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"la lista quasi completa di tutti i reati fallimentari", rispettivamente nessun elemento concreto di "arricchimento indebito"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dell'art.165 CP (B. Corboz, Les infractions en droit suisse, Vol I, n. 1/7 ad art. 163; DTF 28 febbraio 2006, 6S.438/2005; DTF 4 luglio 2003, 6S.142/2003).</w:t>
      </w:r>
    </w:p>
    <w:p>
      <w:r>
        <w:t>Quanto all'"arricchimento indebito", non si tratta di elemento costitutivo dei reati in questione che, peraltro sono reati di messa in pericolo astratta e non necessitano neppure, per la realizzazione, che "la diminution du patrimoine ait eu pour résultat de causer un dommage pécuniaire définitif aux créanciers"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w:t>
      </w:r>
    </w:p>
    <w:p>
      <w:r>
        <w:t>e)</w:t>
      </w:r>
    </w:p>
    <w:p>
      <w:r>
        <w:t>In virtù di quanto sopra non appare necessario approfondire la questione della valutazione dell'inventario fatta dall'UF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w:t>
      </w:r>
    </w:p>
    <w:p>
      <w:r>
        <w:t>L'emanazione di un ordine di perquisizione (e sequestro) a tutte le banche del Cantone Ticino e alcune in altri cantoni, per relazioni bancarie relative al periodo 1996-2006, non è automaticamente lesivo del principio di proporzionalità, né costituisce (in sé) una ricerca indiscriminata di prove.</w:t>
      </w:r>
    </w:p>
    <w:p>
      <w:r>
        <w:t>L'entità e la tipologia dei fatti oggetto di accertamento, in uno con le date in cui gli elementi indizianti si collocano (cfr. quaderno "correntisti", "cassa privata",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w:t>
      </w:r>
    </w:p>
    <w:p>
      <w:r>
        <w:t>Stabilita la legittimità della perquisizione, ci si deve ora occupare del sequestro, rispettivamente della procedura di messa sotto suggello adottata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w:t>
      </w:r>
    </w:p>
    <w:p>
      <w:r>
        <w:t>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w:t>
      </w:r>
    </w:p>
    <w:p>
      <w:r>
        <w:t>b)</w:t>
      </w:r>
    </w:p>
    <w:p>
      <w:r>
        <w:t>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w:t>
      </w:r>
    </w:p>
    <w:p>
      <w:r>
        <w:t>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all'analisiprima faciedel contenuto.</w:t>
      </w:r>
    </w:p>
    <w:p>
      <w:r>
        <w:t>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C.D.B.,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Mentre che, oggetto del sequestro conservatorio ex art. 59 cifra 2 cpv. 3 CP possono essere i valori necessari a garantire l'eventuale risarcimento compensatorio ai sensi dell'art. 59 cifra 2 CP, ritenuto che:</w:t>
      </w:r>
    </w:p>
    <w:p>
      <w:r>
        <w:t>"Se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che colui il quale si è liberato dei valori patrimoniali soggetti a confisca sia avvantaggiato rispetto a chi li ha conservati" (FF 1993 III 221)"</w:t>
      </w:r>
    </w:p>
    <w:p>
      <w:r>
        <w:t>(CRP 21 ottobre 2005, 60.2005.200)</w:t>
      </w:r>
    </w:p>
    <w:p>
      <w:r>
        <w:t>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w:t>
      </w:r>
    </w:p>
    <w:p>
      <w:r>
        <w:t>La determinazione/indicazione degli elementi (se si preferisce, la verifica della fondatezza dei presupposti del sequestro ex art. 161, " a partire dal sospetto allapertura del procedimento, che va in seguito ed indilatamente approfondito con gli accertamenti probatori": GIAR 22 ottobre 2002, 39.2002.7)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w:t>
      </w:r>
    </w:p>
    <w:p>
      <w:r>
        <w:t>Da tutto quanto sopra, deriva l'esigenza di dar seguito alla perquisizione per verificare/approfondire i sospetti di reato e di indebito profitto ed eventuale conferma del sequestro ordinato (DTF 9 agosto 2002, 1P.239/2002, già citato).</w:t>
      </w:r>
    </w:p>
    <w:p>
      <w:r>
        <w:t>(GIAR 25 settembre 2006, 335.2006.1)</w:t>
      </w:r>
    </w:p>
    <w:p>
      <w:r>
        <w:t>3.</w:t>
      </w:r>
    </w:p>
    <w:p>
      <w:r>
        <w:t>Quanto sopra riportato, e qui confermato, può applicarsi (e nel presente caso si applica) anche alla perquisizione di relazioni sui quali gli accusati fruiscono di procura, viste le particolarità dei reati indiziati, l'estensione temporale degli stessi e la fase iniziale delle indagini (GIAR 14 maggio 2001, 378.2000.4, cons. 4). Inoltre, nel caso della qui reclamante in particolare, va anche rilevato che operazioni che la concernono direttamente sono indiziate di costituire reato (e necessitano approfondimenti) e l'accusato __________, oltre ad essere interessato nella __________ ed in operazioni (o movimenti di denaro) che possono essere poste in relazione con tale società (verbali A3, A5, A6 e documenti citati o allegati), era non solo procuratore sulle relazioni __________ ma anche "operativo" per quest'ultima società (A5, pag. 6).</w:t>
      </w:r>
    </w:p>
    <w:p>
      <w:r>
        <w:t>In tale situazione la perquisizione delle relazioni intestate a terzi non è lesiva del principio di proporzionalità (non certo perché prassi del Ministero pubblico), neppure se assortita da sequestro (che, come detto, non può che essere considerato, per mutuare un termine civilistico, "supercautelare" e dovrà trovare conferma o smentita a seguito della perquisizione).</w:t>
      </w:r>
    </w:p>
    <w:p>
      <w:r>
        <w:t>E' evidente che il sequestro di beni di terzi pone maggiori e più delicati problemi che non quello di beni dell'accusato e che tali problemi sono ancora più delicati se si tratta di beni che necessitano al terzo per essere operativo (e non beni a risparmio). Tuttavia, se la scelta del magistrato inquirente di ordinare contemporaneamente la perquisizione ed il sequestro regge dal profilo della legalità (e, a giudizio di questo giudice, allo stadio attuale delle indagini, come detto, regge), non spetta a questo giudice sostituirsi al titolare dell'inchiesta utilizzando criteri di opportunità, bensì a quest'ultimo operare celermente per togliere, se del caso, la misura restrittiva laddove non risulterà fondata. E ciò mediante la perquisizione, rispettivamente evadendo l'istanza di dissequestro già pendente.</w:t>
      </w:r>
    </w:p>
    <w:p>
      <w:r>
        <w:t>4.</w:t>
      </w:r>
    </w:p>
    <w:p>
      <w:r>
        <w:t>Sulla base di tutto quanto esposto ai considerandi precedenti e tenuto conto dello stadio del procedimento, gli ordini di perquisizione e sequestro, rispettivamente di blocco del RF, impugnati poggiano su sufficienti indizi di reato, nonché di connessione del reato con gli oggetti della perquisizione e dei sequestri, e sono ancora rispettosi del principio di proporzionalità.Il reclamo deve essere di conseguenza respinto, con trasmissione (a crescita in giudicato della presente) della documentazione ricevuta sotto suggello (che può essere aperta) al Procuratore pubblico per la perquisizione e l'eventuale seguito del sequestro, nella misura in cui non già evaso con le decisioni di dissequestro comunicate dal magistrato inquirente a questo giudice con scritto del 22 settembre 2006.</w:t>
      </w:r>
    </w:p>
    <w:p>
      <w:r>
        <w:t>Reiezione del gravame comporta carico di tasse e spese alla parte soccombente, e assegnazione delle ripetibili al resistente, con la presente decisione suscettibile di reclamo ex art. 284 cpv. 1 lett. a) CPP.</w:t>
      </w:r>
    </w:p>
    <w:p>
      <w:r>
        <w:t>P.Q.M.</w:t>
      </w:r>
    </w:p>
    <w:p>
      <w:r>
        <w:t>viste le norme applicabili ed in particolare gli artt. 163, 164 e 165 CP, 167 CP, 159 CP, 251 CP, nonché 85 LIVA, 87 cpv. 3 LAVS e 76 cpv. 3 LPP, 161, 164, 280 ss., 284 CPP,</w:t>
      </w:r>
    </w:p>
    <w:p>
      <w:r>
        <w:t>decide</w:t>
      </w:r>
    </w:p>
    <w:p>
      <w:r>
        <w:t>1.I reclami 14 luglio 2006 e 2 agosto 2006 presentati da __________ contro gli ordini di perquisizione e sequestro del 3 luglio 2006 e 19 luglio 2006 nell'ambito del procedimento di cui all'incarto MP ____________________ nella misura in cui non sono divenuti privi d'oggetto (cfr. consid. 10), sono respinti.</w:t>
      </w:r>
    </w:p>
    <w:p>
      <w:r>
        <w:t>2.La documentazione bancaria prodotta sotto suggello sarà consegnata al Procuratore pubblico, per i suoi incombenti come ai considerandi, a crescita in giudicato della presente.</w:t>
      </w:r>
    </w:p>
    <w:p>
      <w:r>
        <w:t>3.La tassa di giustizia fissata in FRS 600.--, e le spese di FRS 350.--, sono a carico del reclamante.</w:t>
      </w:r>
    </w:p>
    <w:p>
      <w:r>
        <w:t>4.Contro la presente decisione è dato reclamo alla CRP entro 10 (dieci) giorni dall'intimazione.</w:t>
      </w:r>
    </w:p>
    <w:p>
      <w:r>
        <w:t>5.Intimazione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