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TI-101600 vom 8. November 2001</w:t>
      </w:r>
    </w:p>
    <w:p>
      <w:r>
        <w:t>TI Tribunale d'appello, 2001-11-08, IT</w:t>
      </w:r>
    </w:p>
    <w:p>
      <w:r>
        <w:rPr>
          <w:b/>
        </w:rPr>
        <w:t xml:space="preserve">Quelle: </w:t>
      </w:r>
      <w:r>
        <w:t>https://mcp.opencaselaw.ch/entscheid/ti_gerichte_TI-101600</w:t>
      </w:r>
    </w:p>
    <w:p>
      <w:r>
        <w:t>FR: TI_GERICHTE TI-101600 du 8 novembre 2001</w:t>
      </w:r>
    </w:p>
    <w:p>
      <w:r>
        <w:t>IT: TI_GERICHTE TI-101600 del 8 novembre 2001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L'art. 95 CPP - corrispondente allart. 33 scaturito dalla revisione parziale 23 settembre 1992 / 1. gennaio 1993 (per cui mantiene validità la pregressa giurisprudenza: v. decisione 10 gennaio 1996 in re T. H., inc. GIAR 2.96.2) - dopo evidenza al cpv. 1 del principio secondo cui l'accusato si trova di regola in libertà, consente al cpv. 2 arresto, perdurare ed eventualmente proroga del carcere preventivo a norma dell'art. 103 CPP, quando esistono a carico dello stesso accusato gravi e concreti indizi di colpabilità per un crimine o un delitto e nel contempo sono presenti preminenti motivi di interesse pubblico, quali - per quanto qui concerne - segnatamente i bisogni dellistruzione e pericolo di recidiva (senza dimenticare che larresto, quale misura processuale cautelativa, non serve unicamente ai bisogni dellistruttoria, ma anche ad assicurare la presenza dellaccusato al processo e a garantire leventuale espiazione della pena: DTF 109 Ia 323 consid. c, e riferimenti; sentenza 16 novembre 1993 del Tribunale federale in re A.H., 1P.477/1993, consid. 3; Rep. 132 [1999] n. 116).</w:t>
      </w:r>
    </w:p>
    <w:p>
      <w:r>
        <w:t>I menzionati presupposti vanno approfonditi con maggior rigore nella loro valutazione, quanto più si è protratta la restrizione della libertà e quanto più si avvicina la conclusione delle indagini (Rep. 1988 pag. 416; 1989 pag. 287 ss.)  ritenuto implicito il rispetto della proporzionalità (Rep. 1980 pag. 44; 1986 pag. 158; 1988 pag. 413; DTF 102 Ia 381). Ed anche questo giudice, come già la Camera dei ricorsi penali, non restringe la sua cognizione all'arbitrio (Rep. 1980 pag. 128).</w:t>
      </w:r>
    </w:p>
    <w:p>
      <w:r>
        <w:rPr>
          <w:b/>
        </w:rPr>
        <w:t>E. 2</w:t>
      </w:r>
    </w:p>
    <w:p>
      <w:r>
        <w:t>a)        Consapevole del rischio (anzi, della certezza) di ripetersi, questo giudice non può far altro se non ribadire che con la verosimiglianza sufficiente a questo stadio del procedimento ed in questa sede, si può tranquillamente concludere per la presenza di seri e concreti indizi di colpevolezza a carico di __________, e relativi ad un suo coinvolgimento nei fatti inquisiti.</w:t>
      </w:r>
    </w:p>
    <w:p>
      <w:r>
        <w:t>In precedenza, questo giudice si era volutamente astenuto dallesprimersi sullattendibilità delle tesi difensive, ricordando che le contestazioni di natura sostanziale sollevate dallaccusato competono notoriamente alla Corte di merito e non a questo giudice  nellambito delle proprie competenze limitate alla valutazione della legittimità della carcerazione preventiva, unicamente autorizzato ad un esame sommario di verosimiglianza del grado di responsabilità dellaccusato istante (v. decisione 30 agosto 2001, cit., consid. 2c p. 5). Linsistenza con la quale __________ ripresenta questi argomenti (oltretutto, sempre gli stessi) costringe il giusdicente ad esprimersi in termini più espliciti.</w:t>
      </w:r>
    </w:p>
    <w:p>
      <w:r>
        <w:t>b)        Può dirsi ormai accertato che i primi fondi oggetto dinchiesta e movimentati direttamente dallaccusato (o con il suo fattivo appoggio) sono stati depositati in Svizzera, presso lallora __________ di__________, a partire dal febbraio 1994 da __________, procuratore del conto formalmente intestato alla compagna di lui __________ (v. rapporto finale 9 ottobre 2001 dellEquipe finanziaria, allinc. MP in classatore separato, pto. 3.1 e allegato 1). Nessuno meglio di __________ può sapere chi effettivamente sia __________, per averne tutelato gli interessi in più occasioni, di fronte alle autorità penali __________; laccusato istante, allora, sa (e non può non sapere) quale reputazione abbia il suo cliente __________, rispettivamente che gli introiti di lui potrebbero anche non essere (detto in termini eufemistici) di provenienza assolutamente cristallina (v. ad es. il verbale 11 giugno 1997 di autorità giudiziaria __________ relativo al presunto coinvolgimento del __________ in organizzazione criminale internazionale dedita al traffico di stupefacenti, rinvenuto nella valigetta dellaccusato al momento dellarresto, v. verbale MP __________ del 17 ottobre 2001, ore 14.30, allinc. MP, classatore verbali PP 2, doc. 21 p. 3). Ma cè di più: __________, proprio per i suoi rapporti con __________, è meglio di chiunque altro in grado di valutare la persona della coaccusata __________, segnatamente i rapporti di lei con __________, lattività di lei e i relativi introiti.</w:t>
      </w:r>
    </w:p>
    <w:p>
      <w:r>
        <w:t>c)         Cionondimeno, laccusato istante persiste nel sostenere la tesi difensiva secondo la quale egli non saprebbe neppure dellesistenza della società off-shore __________ __________ (sui conti della quale sarebbe confluito, dopo diversi passaggi, il capitale di __________), mentre che gli importi deviati sul proprio conto in __________ si giustificherebbero quali onorario e spese per prestazioni legali a favore della coaccusata __________.</w:t>
      </w:r>
    </w:p>
    <w:p>
      <w:r>
        <w:t>Questa tesi difensiva appare già debole di per sé. A prescindere dal fatto che la natura di quegli importi quali onorario dovuto dalla coaccusata __________ è soltanto lultima delle quattro o cinque versioni fornite dallaccusato, si consideri la ragguardevole entità del preteso onorario (circa 130 mio. ptas. [v. verbale MP __________ del 23 agosto 2001 ore 14.30, inc. MP classatore verbali PP 2, doc. 13 p. 13], al cambio attuale pari ad almeno fr. 1,1 mio circa), in contrapposizione con la vaghezza delle prestazioni fornite (mai dettagliatamente fatturate) e la natura deontologicamente più che dubbia delle medesime (per sua stessa ammissione, il legale avrebbe non solo lavorato senza anticipi, ma avrebbe addirittura finanziato il sostentamento della coaccusata __________ [v. istanza di libertà provvisoria 24 agosto 2001, inc. Giar 390.2001.4 doc. 2 pto. 4f p. 5] nonché versato di tasca propria cauzioni e fornito prestazioni per terze persone [v. verbale cit., p. 12, e istanza cit., pti. 4g e 4e, p. 6]; notasi poi che, seppur accompagnasse la cliente fino a __________ per incontri professionali di lei, poi evitava accuratamente di partecipare alle discussioni, v. verbale MP di confronto __________ / __________ del 17 ottobre 2001 ore 09.00, inc. MP classatore verbali PP 2, doc. 20 p. 6).</w:t>
      </w:r>
    </w:p>
    <w:p>
      <w:r>
        <w:t>Sulla bocca di colui che tutela da anni gli interessi dei più volte menzionati __________ e __________, poi, la medesima tesi sconfina apertamente nella temerarietà, soprattutto se  come già detto  non confortata dal benché minimo appoggio documentale (infatti, il coacervo di fatture allegato allistanza qui discussa non sembra stare in alcuna connessione con lattività di __________ quale legale della coaccusata __________, e da esso non si può certo dedurre una qualsiasi legittimazione per il preteso notevole importo [istanza, cit., pto.</w:t>
      </w:r>
    </w:p>
    <w:p>
      <w:r>
        <w:rPr>
          <w:b/>
        </w:rPr>
        <w:t>E. 2.4</w:t>
      </w:r>
    </w:p>
    <w:p>
      <w:r>
        <w:t>p. 3] fatturato a __________  anzi, per la precisione neppure fatturato a__________: lo scatolone prodotto in allegato allistanza di libertà provvisoria 24 agosto 2001, cit., contiene sì diverse pratiche più o meno impegnative, ma un esame puntuale delle stesse non ha permesso di rinvenire una fattura, né laccusato istante ne ha concretamente indicata alcuna). Chi, come laccusato istante, pretende di sostenere una tesi difensiva incompatibile con il normale andamento delle cose e con la comune esperienza, deve sforzarsi di rendere la propria versione almeno verosimile, e deve sforzarsi tanto più concretamente quanto più inverosimile è la sua tesi: non basta  come invece fa laccusato istante  sollevare una cortina fumogena fatta di infiniti documenti privi di concreto nesso con linchiesta, oppure censurare singoli dettagli senza fondamentale influsso sulla credibilità della tesi accusatoria (v., ad es., la questione della sua presenza a Lugano in data 18 novembre 1997 [v. istanza 24 agosto 2001, cit., pto. 4c p. 5]).</w:t>
      </w:r>
    </w:p>
    <w:p>
      <w:r>
        <w:t>d)        La pretesa estraneità dellaccusato istante alla costituzione della società _____ __________ ed alla gestione dei suoi fondi è un altro punto privo di ogni e qualsiasi credibilità. Se si considera da un lato la professione legale di __________, il quale vuole inoltre far credere che gli ingenti importi versatigli rappresentino gli onorari dovutigli da __________, e se si considera, daltro canto, la figura della coaccusata __________, (forse) stella nel firmamento europeo dellaerobica ma per nulla credibile come imprenditrice (tantè che ella medesima afferma di non ricordare quanto denaro abbia investito nelle sue varie partecipazioni, né come abbia racimolato i fondi necessari, v. verbale MP __________ del 22 agosto 2001, inc. MP classatore verbali PP 2, doc. 11 p. 3), landamento naturale delle cose e la comune esperienza portano a ritenere come ben più probabile che sia stato laccusato istante a gestire la __________; a ciò si aggiungano le convergenti dichiarazioni del coaccusato __________ (v., ad es., verbale MP __________ del</w:t>
      </w:r>
    </w:p>
    <w:p>
      <w:r>
        <w:rPr>
          <w:b/>
        </w:rPr>
        <w:t>E. 5</w:t>
      </w:r>
    </w:p>
    <w:p>
      <w:r>
        <w:t>Questultimo può essere validamente limitato tramite prestazione di adeguata cauzione, che viene fissata in fr. 150'000..</w:t>
      </w:r>
    </w:p>
    <w:p>
      <w:r>
        <w:t>*   *   *</w:t>
      </w:r>
    </w:p>
    <w:p>
      <w:r>
        <w:t>Per i quali motivi</w:t>
      </w:r>
    </w:p>
    <w:p>
      <w:r>
        <w:t>visti gli artt. 95 ss., 107 s., 110 s. e 279 ss. CPP</w:t>
      </w:r>
    </w:p>
    <w:p>
      <w:r>
        <w:t>d e c i d e :</w:t>
      </w:r>
    </w:p>
    <w:p>
      <w:r>
        <w:t>2.Non si prelevano tassa né spese di giustizia.</w:t>
      </w:r>
    </w:p>
    <w:p>
      <w:r>
        <w:t>3.Contro la presente decisione è dato il rimedio del ricorso alla Camera dei ricorsi penali del Tribunale di appello entro 10 (dieci) giorni dallintimazione.</w:t>
      </w:r>
    </w:p>
    <w:p>
      <w:r>
        <w:t>Intimazione:</w:t>
      </w:r>
    </w:p>
    <w:p>
      <w:r>
        <w:t>giudice Luca Marazzi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