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INC.2008.24703 vom 13. Juni 2008</w:t>
      </w:r>
    </w:p>
    <w:p>
      <w:r>
        <w:t>TI Tribunale d'appello, 2008-06-13, IT</w:t>
      </w:r>
    </w:p>
    <w:p>
      <w:r>
        <w:rPr>
          <w:b/>
        </w:rPr>
        <w:t xml:space="preserve">Quelle: </w:t>
      </w:r>
      <w:r>
        <w:t>https://mcp.opencaselaw.ch/entscheid/ti_gerichte_INC.2008.24703</w:t>
      </w:r>
    </w:p>
    <w:p>
      <w:r>
        <w:t>FR: TI_GERICHTE INC.2008.24703 du 13 juin 2008</w:t>
      </w:r>
    </w:p>
    <w:p>
      <w:r>
        <w:t>IT: TI_GERICHTE INC.2008.24703 del 13 giugno 2008</w:t>
      </w:r>
    </w:p>
    <w:p>
      <w:pPr>
        <w:pStyle w:val="Heading2"/>
      </w:pPr>
      <w:r>
        <w:t>Regeste</w:t>
      </w:r>
    </w:p>
    <w:p>
      <w:r>
        <w:t>Libertà provvisoria</w:t>
      </w:r>
    </w:p>
    <w:p>
      <w:pPr>
        <w:pStyle w:val="Heading2"/>
      </w:pPr>
      <w:r>
        <w:t>Erwägungen</w:t>
      </w:r>
    </w:p>
    <w:p>
      <w:r>
        <w:rPr>
          <w:b/>
        </w:rPr>
        <w:t>E. 1</w:t>
      </w:r>
    </w:p>
    <w:p>
      <w:r>
        <w:t>__________, accusata e detenuta, è pacificamente legittimata a presentare istanza di libertà provvisoria. Il preavviso e l'incarto sono stati trasmessi tempestivamente ai sensi dell'art. 108 cpv. 1 CPP: in particolare, il preavviso e l'incarto sono stati contestualmente recapitati “brevi manu” a questo ufficio la mattina del 12 giugno 2008 (ex art. 20 cpv. 1 CPP); il termine di cui all'art. 108 cpv. 2 CPP scade lunedì 16 giugno 2008 (ex art. 20 cpv. 3 CPP).</w:t>
      </w:r>
    </w:p>
    <w:p>
      <w:r>
        <w:rPr>
          <w:b/>
        </w:rPr>
        <w:t>E. 2</w:t>
      </w:r>
    </w:p>
    <w:p>
      <w:r>
        <w:t>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 Occorre innanzitutto precisare che, contrariamente a quanto sostenuto dalla difesa, ai fatti addebitati all’accusata non torna applicabile l’art. 172 ter CP, essendo l’intenzione dell’autore determinante e non il risultato effettivamente ottenuto (cfr. DTF 123 IV 119; 122 IV 159): in concreto, anche volendo prescindere dal fatto che le dichiarazioni rilasciate dall’accusata istante quo al valore della refurtiva contrastano con quelle delle parti lese (__________), è innegabile che l’intenzione di chi commette furti in abitazioni non è certo quella di impossessarsi di beni di poco valore. Inoltre, dagli atti emergono elementi sufficientemente concreti per ritenere dato il reato di furto aggravato ai sensi dell’art. 139 cifra 2 e 3 CP, in quanto commesso in banda – per la quale sono sufficienti due persone e una certa reiterazione (cfr. B. Corboz, Le infractions en droit suisse, ed. 2002, ad art. 139 CP, p. 240 e 241, ATF 124 IV 88) – e per mestiere – l'autore agisce professionalmente quando, a causa del tempo e dei mezzi consacrati alla sua attività delittuosa, come pure della frequenza degli atti durante un determinato periodo e dei redditi sperati o conseguiti, risulti che egli esercita la propria attività delittuosa alla stessa stregua di una professione, anche accessoria; è determinante che l'agente abbia deciso di procurarsi mediante la propria attività delittuosa redditi relativamente regolari, che contribuiscono in modo non trascurabile a soddisfare i suoi bisogni (cfr. B. Corboz, op. cit., p. 240 con rif.): nel caso in esame, si può ritenere, anche alla luce delle dichiarazioni rese dalle accusate, la volontà di associarsi al fine di commettere più infrazioni indipendenti, anche se non ancora determinate, entrambe hanno infatti dichiarato di essere venute insieme in Svizzera per commettere furti, e non una sola volta, gli attrezzi ed i guanti in lattice rinvenuti in loro possesso, nonché le modalità da utilizzate (furti con scasso), denotano pure una certa organizzazione ed “esperienza”, rilevato inoltre che entrambe non svolgono alcuna attività lavorativa. Ciò premesso, sono senz'altro dati sufficienti indizi di colpevolezza a carico di __________ per i reati di cui viene accusata, come peraltro emerge dalle dichiarazioni rese dall’accusata stessa, da ultimo nel verb. PP 6 giugno 2008, noto alle parti, al quale si rinvia integralmente.</w:t>
      </w:r>
    </w:p>
    <w:p>
      <w:r>
        <w:rPr>
          <w:b/>
        </w:rPr>
        <w:t>E. 4</w:t>
      </w:r>
    </w:p>
    <w:p>
      <w:r>
        <w:t>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Riass 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è in corso da un certo tempo. Per quanto concerne i bisogni dell'inchiesta, il Procuratore pubblico evidenzia che, sulla scorta delle dichiarazioni di __________ e dei dati forniti dalle compagnie telefoniche quo alla presenza dell’accusata su suolo elvetico, sono stati chiesti i tabulati retroattivi di tale periodo relativi all’utenza in uso all’istante, per sua stessa ammissione da “parecchio tempo” (cfr. verb. pol. 22.05.2008 e ordine di sorveglianza 10.06.2008, approvato da questo giudice il giorno successivo), che permetteranno di verificare la presenza dell’accusata in Svizzera in concomitanza di furti e quindi verificarne la sua eventuale partecipazione, risultanze che dovranno poi essere contestate ad entrambe le accusate, senza il rischio di collusione fra le due. Il fatto che i suddetti atti istruttori non siano ancora stati effettuati, non può essere (ancora) ritenuto lesivo del principio di proporzionalità, tenuto conto del fatto che l'inchiesta è stata sin qui condotta in modo celere e preciso; l’autorità inquirente è comunque invitata a procedere celermente agli accertamenti mancanti, peraltro limitati ed esperibili in tempi brevi (nel rispetto dell'art. 102 cpv. 1 CPP). Tutto ciò premesso la scarcerazione di __________ appare ancora prematura.</w:t>
      </w:r>
    </w:p>
    <w:p>
      <w:r>
        <w:rPr>
          <w:b/>
        </w:rPr>
        <w:t>E. 5</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(M. Luvini, I presupposti materiali del carcere preventivo, in REP 1989 p. 287ss., p. 32; DTF 106 Ia 404; DTF 117 Ia 69; CEDU Vol. A IX p. 44; SJ 1981 p. 377, SJ 1980 186; N. Schmid, Strafprozessrecht, ZH 1997, no. 701).“ 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__________ è cittadina italiana, vive in __________, ma senza residenza regolare, con la famiglia, e non ha alcun legame con la Svizzera. L'istante non ha quindi alcun interesse a rimanere a disposizione delle autorità svizzere e la tentazione di riparare all'estero per sottrarsi al procedimento è quindi sorretta da sufficiente verosimiglianza ed il rischio di fuga appare probabile in modo concreto. Per contro, poco concreta la proposta, peraltro unicamente ventilata nell’istanza, ma non oggetto di petitum, di una cauzione, tenuto anche conto della situazione finanziaria dell’accusata e del fatto che comunque verrebbe versata da terzi, nonché ritenuto che in ogni caso trattasi di misura sostitutiva inidonea a scongiurare il pericolo di collusione, pure dato, come evidenziato sopra, nella fattispecie.</w:t>
      </w:r>
    </w:p>
    <w:p>
      <w:r>
        <w:rPr>
          <w:b/>
        </w:rPr>
        <w:t>E. 6</w:t>
      </w:r>
    </w:p>
    <w:p>
      <w:r>
        <w:t>Stabilita l’esistenza di bisogni dell’inchiesta e pericolo di fuga, quali motivi di interesse pubblico a giustificazione del mantenimento del carcere preventivo ci si può esimere dall’analizzare il paventato pericolo di recidiva e non tanto perché non sia dato in quanto non considerato al momento della conferma dell’arresto (d’altronde non erano noti a questo giudice i furti successivamente ammessi dall’accusata) dal momento che l’individuazione di una delle condizioni alternative a fondamento della detenzione cautelare è comunque sufficiente alla decisione, senza che sia necessario esaminarle tutte (cfr. GIAR 7.12.2004, inc. 2004.56103).</w:t>
      </w:r>
    </w:p>
    <w:p>
      <w:r>
        <w:rPr>
          <w:b/>
        </w:rPr>
        <w:t>E. 7</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(l’art. 139 cifra 2 prevede una pena minima edittale non inferiore a 90 aliquote giornaliere e l’art. 139 cifra una pena edittale non inferiore a 180 aliquote) è certamente superiore al carcere sin qui sofferto (circa 1 mese) e quello ancora da soffrire (l’inchiesta non è ancora conclusa, ma sembrano comunque previsti tempi brevi alla luce dei limitati ulteriori atti d’inchiesta da effettuare). Gli inquirenti hanno sino ad ora proceduto con celerità, non si ravvisano “tempi morti” e l’inchiesta non si trova, né si è mai trovata, in una situazione di stallo e neppure vi sono stati ritardi ingiustificati (cfr. DTF 16.11.2004, 1P630/2004). Ribadito, in ogni caso, l'obbligo per il magistrato inquirente di trattare con priorità i casi in cui l'accusato è in detenzione, con il formale invito all’attenzione ai precetti di celerità (art. 102 cpv. 1 e 176 cpv. 3 CPPT) che vogliono contenimento della possibile carcerazione preventiva, ciò che appare sufficiente, senza che sia necessaria, come invece postulato dalla difesa, la fissazione di un termine. Da ultimo per quanto concerne lo stato di gravidanza di __________, si rileva che alla stessa è comunque garantita assistenza medica e che comunque la circostanza di essere incinta non le ha impedito di venire in Svizzera (3 volte nel solo mese di maggio, cfr. verb. pol. 22.05.2008 e PP 6.06.2008) per commettere furti.</w:t>
      </w:r>
    </w:p>
    <w:p>
      <w:r>
        <w:rPr>
          <w:b/>
        </w:rPr>
        <w:t>E. 8</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nel rispetto dei principi di proporzionalità e celerità nei termini suesposti. La detenzione sin qui sofferta non viola (al momento attuale) il principio di proporzionalità, né l’obbligo di celerità.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gli articoli 139, 144, 186 CP, 95ss, 102, 103, 279ss, 284 CPP, decide: 1. L’istanza di libertà provvisoria è respinta. 2. Non si percepiscono né tasse né spese giudiziarie. 3. Contro la presente decisione è dato ricorso alla Camera dei ricorsi penali entro dieci giorni dall’intimazione. 4. Intimazione: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