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INC.2007.54203 vom 10. März 2008</w:t>
      </w:r>
    </w:p>
    <w:p>
      <w:r>
        <w:t>TI Tribunale d'appello, 2008-03-10, IT</w:t>
      </w:r>
    </w:p>
    <w:p>
      <w:r>
        <w:rPr>
          <w:b/>
        </w:rPr>
        <w:t xml:space="preserve">Quelle: </w:t>
      </w:r>
      <w:r>
        <w:t>https://mcp.opencaselaw.ch/entscheid/ti_gerichte_INC.2007.54203</w:t>
      </w:r>
    </w:p>
    <w:p>
      <w:r>
        <w:t>FR: TI_GERICHTE INC.2007.54203 du 10 mars 2008</w:t>
      </w:r>
    </w:p>
    <w:p>
      <w:r>
        <w:t>IT: TI_GERICHTE INC.2007.54203 del 10 marzo 2008</w:t>
      </w:r>
    </w:p>
    <w:p>
      <w:pPr>
        <w:pStyle w:val="Heading2"/>
      </w:pPr>
      <w:r>
        <w:t>Regeste</w:t>
      </w:r>
    </w:p>
    <w:p>
      <w:r>
        <w:t>Reclamo contro il rifiuto del PP di allestire una perizia medico/farmaceutica. Reclamo accolto con rinvio al magistrato inquirente per nuova decisione debitamente motivata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In conclusione, in virtù di tutto quanto sopra esposto, la decisione impugnata è da ritenersi carente nella motivazione (in particolare per quanto concerne la parte relativa al rifiuto di accertamento peritale dell’imputabilità dell’accusata), deve essere quindi annullata parzialmente e rinviata al magistrato inquirente per nuova decisione debitamente motivata. Tasse spese rimangono a carico dello Stato. P.Q.M. Viste le norme applicabili, in particolare gli artt. 19, 20, 140 cifra 1, 2, 3 e 139 CP, 19a LFSTup, 6, 58, 60, 142 ss, 176, 189, 280 ss., 284 e contrario CPP, decide: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