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INC.2006.46006 vom 8. Juni 2007</w:t>
      </w:r>
    </w:p>
    <w:p>
      <w:r>
        <w:t>TI Tribunale d'appello, 2007-06-08, IT</w:t>
      </w:r>
    </w:p>
    <w:p>
      <w:r>
        <w:rPr>
          <w:b/>
        </w:rPr>
        <w:t xml:space="preserve">Quelle: </w:t>
      </w:r>
      <w:r>
        <w:t>https://mcp.opencaselaw.ch/entscheid/ti_gerichte_INC.2006.46006</w:t>
      </w:r>
    </w:p>
    <w:p>
      <w:r>
        <w:t>FR: TI_GERICHTE INC.2006.46006 du 8 juin 2007</w:t>
      </w:r>
    </w:p>
    <w:p>
      <w:r>
        <w:t>IT: TI_GERICHTE INC.2006.46006 del 8 giugno 2007</w:t>
      </w:r>
    </w:p>
    <w:p>
      <w:pPr>
        <w:pStyle w:val="Heading2"/>
      </w:pPr>
      <w:r>
        <w:t>Regeste</w:t>
      </w:r>
    </w:p>
    <w:p>
      <w:r>
        <w:t>Reclamo contro rifiuto di complemento istruttorio. Erezione di una perizia psichiatrica</w:t>
      </w:r>
    </w:p>
    <w:p>
      <w:pPr>
        <w:pStyle w:val="Heading2"/>
      </w:pPr>
      <w:r>
        <w:t>Erwägungen</w:t>
      </w:r>
    </w:p>
    <w:p>
      <w:r>
        <w:rPr>
          <w:b/>
        </w:rPr>
        <w:t>E. 11</w:t>
      </w:r>
    </w:p>
    <w:p>
      <w:r>
        <w:t>In conclusione e in virtù di quanto esposto ai considerandi precedenti, nel caso in esame  occorre concludere che, da un lato gli elementi addotti e che emergono dall’incarto sono  insufficienti a fondare dubbio sull’imputabilità dell’accusato serio (sempre ex art. 20 CP)  al punto da imporre di modificare la decisione del titolare dell’istruttoria, dall’altro la richiesta di prova deve pure essere dichiarata tardivamente proposta, per quanto concerne la fase predibattimentale. Di conseguenza, il reclamo viene respinto con la presente decisione  definitiva a livello cantonale (art. 284 cpv. 1 lett. a. e contrario ). Tasse e spese seguono la soccombenza. P.Q.M. Viste le norme applicabili citate, in particolare gli artt. 19, 20, 140 CP, 1 ss., 9, 58, 59, 142 ss., 196, 280 ss, 284 CPP,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