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INC.2006.22202 vom 10. Juli 2006</w:t>
      </w:r>
    </w:p>
    <w:p>
      <w:r>
        <w:t>TI Tribunale d'appello, 2006-07-10, IT</w:t>
      </w:r>
    </w:p>
    <w:p>
      <w:r>
        <w:rPr>
          <w:b/>
        </w:rPr>
        <w:t xml:space="preserve">Quelle: </w:t>
      </w:r>
      <w:r>
        <w:t>https://mcp.opencaselaw.ch/entscheid/ti_gerichte_INC.2006.22202</w:t>
      </w:r>
    </w:p>
    <w:p>
      <w:r>
        <w:t>FR: TI_GERICHTE INC.2006.22202 du 10 juillet 2006</w:t>
      </w:r>
    </w:p>
    <w:p>
      <w:r>
        <w:t>IT: TI_GERICHTE INC.2006.22202 del 10 luglio 2006</w:t>
      </w:r>
    </w:p>
    <w:p>
      <w:pPr>
        <w:pStyle w:val="Heading2"/>
      </w:pPr>
      <w:r>
        <w:t>Regeste</w:t>
      </w:r>
    </w:p>
    <w:p>
      <w:r>
        <w:t>Libertà provvisoria</w:t>
      </w:r>
    </w:p>
    <w:p>
      <w:pPr>
        <w:pStyle w:val="Heading2"/>
      </w:pPr>
      <w:r>
        <w:t>Erwägungen</w:t>
      </w:r>
    </w:p>
    <w:p>
      <w:r>
        <w:rPr>
          <w:b/>
        </w:rPr>
        <w:t>E. 1</w:t>
      </w:r>
    </w:p>
    <w:p>
      <w:r>
        <w:t>L'istanza, presentata dall'accusato detenuto, è ricevibile in ordine. La stessa è stata ricevuta dal Ministero pubblico il 3 luglio 2006 e trasmessa a questo ufficio (brevi manu) il 6 luglio 2006: i termini di cui all'art. 108 cpv. 1 CPP sono rispettati. Il termine assegnato a questo giudice scade, in conseguenza dell'applicazione dell'art. 20 CPP sul computo, lunedì 10 luglio 2006.</w:t>
      </w:r>
    </w:p>
    <w:p>
      <w:r>
        <w:rPr>
          <w:b/>
        </w:rPr>
        <w:t>E. 2</w:t>
      </w:r>
    </w:p>
    <w:p>
      <w:r>
        <w:t>Preliminarmente e sulla questione della conoscenza degli atti d'inchiesta (che l'istante e la sua difesa affermano di non aver potuto visionare), si rileva che poco dopo l'arresto, la difesa ha chiesto al magistrato inquirente di poter ricevere copia degli atti allegati alla richiesta d'arresto e questi ha comunicato che la richiesta era prematura (inc. 9579/2004, AI 23). Non risultano, a questo giudice, reclami contro tale rifiuto; dagli atti degli incarti menzionati, non risultano neppure richieste (se si preferisce: istanze) di accesso agli atti successive a quella del 12 maggio 2006 (allegata all'AI 23 citato). Ne consegue che la questione non è e non può essere oggetto del presente reclamo, che è dato solo contro decisioni o omissioni formali del PP (cfr. per analogia DTF 14 gennaio 2005, 1S.15/2004). D'altro canto, si deve anche constatare che neppure a questo ufficio (a seguito dell'istanza di libertà provvisoria e ai fini della formulazione di osservazioni) è stato chiesto di poter visionare la documentazione, che accompagna il preavviso negativo (DTF 9 luglio 2004, 1S 1/2004).</w:t>
      </w:r>
    </w:p>
    <w:p>
      <w:r>
        <w:rPr>
          <w:b/>
        </w:rPr>
        <w:t>E. 3</w:t>
      </w:r>
    </w:p>
    <w:p>
      <w:r>
        <w:t>Sebbene noti al patrocinatore ed al magistrato inquirente, i principi generali in materia di detenzione cautelare vengono qui di seguito riassunti: L'art. 95 CPP - corrispondente all’art. 33 scaturito dalla revisione parziale 23 settembre 1992 / 1. gennaio 1993 (per cui mantiene validità la pregressa giurisprudenza: v. decisione 10 gennaio 1996 in re T. H.,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4</w:t>
      </w:r>
    </w:p>
    <w:p>
      <w:r>
        <w:t>A questo stadio del procedimento ed in questa sede (che non è deputata ad esprimersi sul merito delle accuse e deve, anzi, evitare di pregiudicarlo limitandosi a verosimiglianza per il giudizio di legittimità delle misure d'inchiesta - GIAR 26 ottobre 2001 in re A.), si può concludere per la presenza di seri e concreti indizi di colpevolezza a carico di __________ per i reati ascritti. Elementi indizianti una attività truffaldina, così come descritta dal magistrato inquirente nella promozione dell'accusa e nelle osservazioni, messa in opera per il tramite delle società menzionate, emerge dalle denunce (inc. 9579/2004, AI 1; 3238/2006, AI 7, 15, 19, 25), da parte della documentazione contenuta nei classatori "fatture ricevute" e "parti lese" prodotti con l'incarto, dalla documentazione bancaria delle società (che rivela l'assenza di fondi - nonché di movimentazione, ma contestuale emissione di assegni ; inc. __________, AI 5; inc. __________ AI 7), nonché dai verbali di alcuni fornitori (Polizia 10.05.2006 __________; Polizia 16.05.2006 __________; Polizia 29.05.2006 __________) e da quelli degli amministratori tabulari delle società, rispettivamente dell'amministratore dello stabile in cui una di queste aveva uffici (Polizia 8.5.2006 __________; Polizia 25.5.2006 __________). Il coinvolgimento del qui accusato nell'attività delle società in questione emerge in modo sufficiente (per le necessità del presente giudizio) dai verbali dello spedizioniere __________ (contatti per la spedizione/importazione/esportazione di merce: Verbale PP __________ 31 maggio 2006, pag. 2 e 3), da quelli di __________ e __________ (reperimento, rispettivamente costituzione delle società, pagamento delle relative spese e presenza negli uffici: Verbale PP __________ 14 giugno 2006, pag. 3 in particolare; Verbale PS __________ 9 giugno 2006). Inoltre, tale coinvolgimento risulta anche dalla documentazione trovata in possesso dell'accusato al momento dell'arresto, relativa ai "fornitori" delle società oggetto d'inchiesta (si vedano gli allegati al verbale PP __________ 31 maggio 2005 e relative contestazioni - meglio: le risposte alle contestazioni -, in particolare alle pagine 6 e ss.) e dal possesso di un telefonino di pertinenza della __________ (idem, pag. 8). Da ultimo, l'accusato sembra conoscere praticamente tutte le persone in qualche modo riconducibili alle tre società oggetto d'inchiesta (cfr. Verbali PS __________ 5 luglio 2006, 9 maggio 2006, 11 maggio 2006, 23 maggio 2006; Verbale PP __________ 31 maggio 2006). Poco comprensibile l'apodittica affermazione della difesa dell'istante, secondo cui il confronto con __________ si sarebbe risolto a suo (dell'accusato) favore. Attinente ad altri ambiti la " sensazione " del difensore circa in merito al fatto che " la tesi " (recte: le affermazioni) del teste __________ " non avrebbero resistito in sede di confronto " (Istanza, punto 27). Purtroppo non verificabili direttamente le affermazioni dell'istante secondo cui la sua presenza negli uffici della __________, il possesso di documentazione di fornitori di questa società e di un telefonino acquisito dalla stessa, siano dovuti unicamente ai suoi rapporti con la defunta signora __________ (cfr. verbali PS __________ 11 maggio 2006, Verbale PP __________ 31 maggio 2006, pag. 8) Abbondanzialmente (in quanto non risulta tra gli atti trasmessi né il verbale __________, né il rapporto dei carabinieri del 21 settembre 2004: cfr. inc. __________ AI 3 ed elenchi atti e verbali per tutti gli incarti) un ulteriore indizio emergerebbe dal fatto che un teste avrebbe indicato il numero di cellulare italiano dell'accusato come recapito di contatto con la __________, più precisamente con una persona che si faceva chiamare __________, descritta come avente caratteristiche fisiche analoghe a quelle dell'accusato (cfr. verbale PS __________ 14 giugno 2006 e relative contestazioni). La prima (e cumulativa) condizione per l'eventuale mantenimento della carcerazione preventiva è pertanto presente.</w:t>
      </w:r>
    </w:p>
    <w:p>
      <w:r>
        <w:rPr>
          <w:b/>
        </w:rPr>
        <w:t>E. 5</w:t>
      </w:r>
    </w:p>
    <w:p>
      <w:r>
        <w:t>a)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b) È, di regola, compito del magistrato inquirente (anche nel rispetto dell'obbligo di motivazione e della garanzia del contraddittorio - si veda, inoltre, la nota alla sentenza 25 marzo 1998, in REP 1998 p. 329) - se ne afferma l'esistenza, sostanziare la presenza di concreti elementi indicanti pericolo di collusione o inquinamento delle prove (GIAR 23 settembre 2002 in re Y.). Nel caso in esame, il Procuratore pubblico indica un pericolo di collusione con i correi,  (Preavviso, pag. ). Ora, sebbene il magistrato inquirente non spenda molte parole per sostanziare la concretezza di tale pericolo, risulta in modo evidente dall'incarto che l'audizione dei (presunti) correi menzionati, nonché dei testi indicati nella rogatoria trasmessa alle autorità italiane (inc. __________, AI 36) è di sicura importanza per l'inchiesta, per l'accertamento dei fatti e dei ruoli, compreso quello effettivo del qui istante. c) Nel contempo è indubbio che le dichiarazioni di __________ sono tese a limitare la (sua) conoscenza dei fatti, rivendicare ruolo marginale (quando non casuale), senza consapevolezza del possibile illecito e limitata conoscenza dell'identità delle altre persone coinvolte; addirittura anche di quelle che gli avrebbero commissionato la costituzione di una delle società (vedi tale __________: verbale PS __________ 5 luglio 2006 pag. 1 e 2; __________). Ora, tali affermazioni possono anche corrispondere a verità ma debbono comunque essere verificate e l'audizione dei presunti correi e/o testi menzionati non è certamente elemento secondario o marginale per tale verifica e deve poter avvenire senza che sia possibile (per gli interessati) concordare versioni di comodo a favore dell'uno o dell'altro, o di tutti. Nel contempo, non va dimenticato che perlomeno parte del provento di reato non è stata recuperata (cfr. classificatori trasmessi con gli incarti); pertanto una sua prematura messa in libertà potrebbe anche compromettere il ritrovamento della merce, delle tracce di destinazione della stessa o del provento sostitutivo (GIAR 20 giugno 2003 in re E. cons. 4 b., 337.2003.2 : "L'accertamento del destino di queste ultime [ n.d.r.: il provento di reato ] non è importante solo per la qualifica giuridica del reato [appropriazione indebita o amministrazione infedele, fine di lucro] e per la determinazione dell'eventuale pena [ex art. 63, motivi a delinquere - cfr. DTF 116 IV 288] ma anche per l'eventuale recupero delle stesse e la conseguente applicazione dell'art. 59 CP. Trattasi di uno specifico elemento probatorio [provento di reato]."). d) Considerando le dichiarazioni poco trasparenti dell'accusato istante in relazione ai terzi con i quali è stato in contatto (o ha in qualche modo operato) la discrepanza tra le dichiarazioni (in merito al suo ruolo) e quella di alcuni testi, il fondato sospetto (per non dire concreto indizio) di utilizzo (nell'ambito dei fatti a lui contestati) di nome di fantasia (al telefono e non) la sparizione dagli uffici della __________ della (eventuale) documentazione cartacea e l'abbandono dei locali (cfr. AI 9) così come segnalato dall'amministratore, non è certo azzardato, a questo stadio, dubitare sulla completa veridicità delle sue dichiarazioni, né ritenere concreto il pericolo di collusione con i presunti correi indicati, nonché di inquinamento di eventuali prove circa la destinazione della merce (GIAR 20 giugno 2003 in re E., 337.2003.2; GIAR 9 agosto 2001, 390.2001.2; Rep 1980 p. 45) Il pericolo di collusione e di inquinamento delle prove è, a giudizio di questo giudice, attuale.</w:t>
      </w:r>
    </w:p>
    <w:p>
      <w:r>
        <w:rPr>
          <w:b/>
        </w:rPr>
        <w:t>E. 6</w:t>
      </w:r>
    </w:p>
    <w:p>
      <w:r>
        <w:t>a) Stabilita l'esistenza di un pericolo di collusione e di inquinamento delle prove, ci si potrebbe esimere dall'esaminare se sussistono anche elementi concreti circa il pericolo di fuga e quello di recidiva, come sostenuto dal magistrato inquirente. Tuttavia, dato che le necessità istruttorie che giustificano oggi il mantenimento del carcere preventivo potrebbero venir meno a seguito dell'espletamento di successivi atti d'inchiesta ed avendo l'accusato accennato alla possibilità di prestare cauzione, può essere di una certa utilità esprimersi in merito perlomeno al pericolo di fuga ed alla sua eventuale limitazione mediante cauzione. Il tutto, ovviamente, tenuto conto della situazione attuale e senza pregiudizio per eventuali future decisioni. b)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__________ è cittadino italiano, residente in Italia, e non ha legami particolari con il nostro territorio se non il permesso G, da alcuni mesi "inutilizzato" (verbale PS 9 maggio 2006, pag. 1) che gli sarebbe però servito (sostanzialmente e se le accuse dovessero essere confermate) a commettere gli atti di cui è accusato. Se le accuse dovessero essere confermate il rischio di una pena non lieve esiste (i reati per i quali è stata promossa l’accusa prevedono anche la reclusione). Non è neppure certo che egli possa (sempre eventualmente) beneficiare della sospensione condizionale. Quest'elemento, da solo, non é determinante, ma deve essere attentamente considerato se ad esso se ne sommano altri come sopra descritto (SJ 1980 186; SJ 1981 135; N. Schmid, Strafprozessrecht, ZH 1997, no. 701). La fuga (intesa come indisponibilità a presenziare al seguito del dibattimento e all'eventuale relativo processo) può apparirgli quale soluzione più interessante che non l’affrontare i rischi di un processo, dal quale sono peraltro assenti, per il momento, i presunti correi. Alla luce di questi elementi, il pericolo di fuga è presente in modo concreto (DTF 102 Ia 382; DTF 106 Ia 407; DTF 117 Ia 69; SJ 1980 585). c) Quanto alla possibilità di stabilire una cauzione a limitazione del pericolo di fuga, va preliminarmente detto che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 21 a 23 ad art. 73). Spetta all’accusato, e a chi è disposto ad intervenire, fornire i necessari elementi per una corretta e completa valutazione della situazione (SJ 1980 181 e 586). Nel caso in esame gli elementi (concreti e certi) a disposizione sono praticamente inesistenti. Dagli atti d'inchiesta non è possibile dedurre alcunché di utile (cfr. verbali PS 9 maggio 2006, pag. 1 e 23 maggio 2006, pag. 1), se non che l'accusato non ha chiesto il gratuito patrocinio (cfr. verbale GIAR 10 maggio 2004). L'istanza di libertà provvisoria è totalmente silente in merito alla situazione economica. Ne consegue impossibilità di determinare un importo cauzionale che non sia unicamente in relazione con l'entità/gravità dei reati imputati. Comunque, nel caso in esame vista la sussistenza di pericolo di collusione ed inquinamento delle prove, nonché il fatto che la refurtiva non è ancora stata recuperata, è esclusa la messa in libertà previo versamento cauzionale (in un recente caso, per fattispecie analoga, è stato ritenuto inadeguato un importo, offerto, di FRS 70'000.- ; CRP 17 novembre 2005, 60.2005.357).</w:t>
      </w:r>
    </w:p>
    <w:p>
      <w:r>
        <w:rPr>
          <w:b/>
        </w:rPr>
        <w:t>E. 7</w:t>
      </w:r>
    </w:p>
    <w:p>
      <w:r>
        <w:t>La proporzionalità di una carcerazione deve essere analizzata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art. 102 CPP). Nel caso concreto, il carcere preventivo sofferto (poco più di 2 mesi) e quello prevedibilmente ancora da soffrire in attesa dell'espletamento delle audizioni richieste alle autorità italiane. Non va dimenticato che i reati ascritti sono gravi, commessi con notevole intensità delittuosa (è imputato il mestiere), e possono condurre, se confermati, a pene di sicura gravità e anche superiori al limite per la concessione della sospensione condizionale. Per quanto concerne gli atti ancora soggetti a pericolo di inquinamento e collusione, non si può certo parlare di violazione del principio di celerità ritenuto che le rogatorie sono state presentate non appena acquisiti gli elementi utili per formularle e non vi è motivo di ritenere che le autorità italiane non diano seguito in tempi ragionevoli. D'altro canto chi compie reati in correità e/o con modalità transfrontaliere deve sopportare anche le necessità istruttorie (e i tempi) che valgono nei confronti dei terzi in questione e che dipendono dalle autorità estere (GIAR 3 gennaio 2005 in re K., 392.2004.2 e GIAR 19 agosto 1999 in re L., 386.1999.9), perlomeno finché ciò è compatibile con il principio di proporzionalità, come è qui il caso.</w:t>
      </w:r>
    </w:p>
    <w:p>
      <w:r>
        <w:rPr>
          <w:b/>
        </w:rPr>
        <w:t>E. 8</w:t>
      </w:r>
    </w:p>
    <w:p>
      <w:r>
        <w:t>In conclusione, in capo a __________ sono presenti gravi indizi di colpevolezza per i reati ascritti ed è presente e concreto un pericolo di collusione con i presunti correi italiano e di inquinamento delle prove in fase di acquisizione (per rogatoria). Pure presente e concreto un pericolo di fuga che non può essere (oggi) sufficientemente limitato da una cauzione, comunque (sempre oggi) determinabile solo per rapporto alla gravità del reato, vista l'assenza di indicazioni da parte dell'istante circa la sua situazione economica e quella delle persone a lui vicine. Il mantenimento del carcere preventivo risulta ancora rispettoso del principio di proporzionalità. L'istanza va quindi respinta. P.Q.M visti gli artt. 138, 146, 158, CP, artt. 20, 95 ss., 108, 280 ss., 284 CPP, 9, 10, 31 CF, 5 cifra 3 CEDU; decide 1. L’istanza di libertà provvisoria presentata da __________ è respinta. 2. Non si prelevano tasse e spese. 3. Contro la presente decisione è dato ricorso alla Camera dei ricorsi penali, Lugano, entro dieci giorni dall’intimazione. 4. Intimazione (anticipata via fax, ritenuto che il termine di ricorso decorre dall’intimazione dell’originale):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