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INC.2005.37906 vom 18. April 2006</w:t>
      </w:r>
    </w:p>
    <w:p>
      <w:r>
        <w:t>TI Tribunale d'appello, 2006-04-18, IT</w:t>
      </w:r>
    </w:p>
    <w:p>
      <w:r>
        <w:rPr>
          <w:b/>
        </w:rPr>
        <w:t xml:space="preserve">Quelle: </w:t>
      </w:r>
      <w:r>
        <w:t>https://mcp.opencaselaw.ch/entscheid/ti_gerichte_INC.2005.37906</w:t>
      </w:r>
    </w:p>
    <w:p>
      <w:r>
        <w:t>FR: TI_GERICHTE INC.2005.37906 du 18 avril 2006</w:t>
      </w:r>
    </w:p>
    <w:p>
      <w:r>
        <w:t>IT: TI_GERICHTE INC.2005.37906 del 18 aprile 2006</w:t>
      </w:r>
    </w:p>
    <w:p>
      <w:pPr>
        <w:pStyle w:val="Heading2"/>
      </w:pPr>
      <w:r>
        <w:t>Regeste</w:t>
      </w:r>
    </w:p>
    <w:p>
      <w:r>
        <w:t>Proroga della carcerazione in vista di allontanamento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aprile 2006 In nome della Repubblica e Cantone del Ticino Il Giudice dell'istruzione e dell'arresto Claudia Solcà sedente per statuire sul sedente per statuire sull'istanza/decisione del 18 aprile 2006 della Sezione dei permessi e dell'immigrazione, Bellinzona relativa alla proroga della carcerazione in vista dell'allontanamento cui è astretto __________ visti gli inc. GIAR 379.2005.3/4/6 e quello della SPI; ritenuto e considerato in fatto 1. __________ è stato incarcerato il</w:t>
      </w:r>
    </w:p>
    <w:p>
      <w:r>
        <w:rPr>
          <w:b/>
        </w:rPr>
        <w:t>E. 28</w:t>
      </w:r>
    </w:p>
    <w:p>
      <w:r>
        <w:t>giugno 2006 , compreso. 2. Contro la presente decisione è dato ricorso al Tribunale cantonale amministrativo entro             15 (quindici) giorni dall'intimazione (art. 31 LALMC). 3. Intimazione: giudice Claudia Solcà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