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INC.2004.23403 vom 14. Mai 2004</w:t>
      </w:r>
    </w:p>
    <w:p>
      <w:r>
        <w:t>TI Tribunale d'appello, 2004-05-14, IT</w:t>
      </w:r>
    </w:p>
    <w:p>
      <w:r>
        <w:rPr>
          <w:b/>
        </w:rPr>
        <w:t xml:space="preserve">Quelle: </w:t>
      </w:r>
      <w:r>
        <w:t>https://mcp.opencaselaw.ch/entscheid/ti_gerichte_INC.2004.23403</w:t>
      </w:r>
    </w:p>
    <w:p>
      <w:r>
        <w:t>FR: TI_GERICHTE INC.2004.23403 du 14 mai 2004</w:t>
      </w:r>
    </w:p>
    <w:p>
      <w:r>
        <w:t>IT: TI_GERICHTE INC.2004.23403 del 14 maggio 2004</w:t>
      </w:r>
    </w:p>
    <w:p>
      <w:pPr>
        <w:pStyle w:val="Heading2"/>
      </w:pPr>
      <w:r>
        <w:t>Regeste</w:t>
      </w:r>
    </w:p>
    <w:p>
      <w:r>
        <w:t>Sentenza o decisione senza scheda</w:t>
      </w:r>
    </w:p>
    <w:p>
      <w:pPr>
        <w:pStyle w:val="Heading2"/>
      </w:pPr>
      <w:r>
        <w:t>Erwägungen</w:t>
      </w:r>
    </w:p>
    <w:p>
      <w:r>
        <w:rPr>
          <w:b/>
        </w:rPr>
        <w:t>E. 1</w:t>
      </w:r>
    </w:p>
    <w:p>
      <w:r>
        <w:t>L'istanza, presentata dall'accusato detenuto, direttamente a questo giudice stante la già avvenuta emanazione del decreto d'accusa e l'attesa dell'apertura del dibattimento, è ricevibile.</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L'esistenza di gravi indizi di colpevolezza - peraltro neppure contestata dalla difesa - è senz'altro data. In particolare, dagli atti risulta che __________ è accusato di ricettazione in relazione a vari oggetti rinvenuti nella sua camera nel corso della perquisizione del 27 aprile 2004, a seguito del suo fermo, di due furti di lieve entità, avvenuti il 5 ed il 27 aprile 2004, nonché di contravvenzione alla LFStup e alla LF sul trasporto pubblico. L'accusato ammette soltanto il furto del 27 aprile 2004 e le contravvenzioni alla LFStup e alla LF sul trasporto pubblico; per contro nega recisamente di aver commesso il furto del 5 aprile 2004 e che quanto ritrovato nella sua stanza sia provento di furto (cfr. verbale PP 4 maggio 2004), senza peraltro fornire una versione credibile dei fatt.. Lo stesso decreto d'accusa può del resto essere utilizzato quale accertamento degli indizi di reato, in assenza di elementi contrari (DTF 19 giugno 1997 in re V., 1P.306/1997).</w:t>
      </w:r>
    </w:p>
    <w:p>
      <w:r>
        <w:rPr>
          <w:b/>
        </w:rPr>
        <w:t>E. 4</w:t>
      </w:r>
    </w:p>
    <w:p>
      <w:r>
        <w:t>Non sono qui (più) in discussione necessità istruttorie nel senso di pericolo di collusione o inquinamento delle prove. Occorre, invece, stabilire se siano ancora concreti il pericolo di fuga e quello di recidiva e, successivamente, se il mantenimento del carcere preventivo sia rispettoso del principio di proporzionalità. Per giustificare carcerazione preventiva, il pericolo di fuga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__________ è cittadino bielorusso richiedente l'asilo (in attesa di una decisione in merito). Se la proposta di pena di cui al DA 1629/2004 dovesse essere confermata dalla Pretura penale, sussiste il rischio concreto che, nella prospettiva di una pena di ben due mesi da espiare - altre volte l'accusato, come si vedrà nel seguito è infatti stato condannato a pene detentive, ma di durata inferiore a quella ora proposta -, l'istante si dia alla latitanza, in altre parole si renda irreperibile, tanto più che egli sa che la sua domanda di asilo, visti i precedenti penali, verrà verosimilmente respinta (cfr. verbale PP 4 maggio 2004). In conclusione è lecito presumere che le conseguenze di una fuga possano apparirgli quale male minore per rapporto a quello derivante dal rischio di ulteriore carcerazione (M. Luvini, op. cit., p. 292) e il pericolo di fuga deve essere considerato presente in modo concreto (DTF 102 Ia 382; DTF 106 Ia 407; DTF 117 Ia 69; SJ 1980 585). Lo stesso non appare ovviabile con misure sostitutive, così come quello di recidiva, che in casu è pure dato. A tale proposito giova preliminarmente ricordare che il pericolo di recidiva deve essere concreto (DTF 105 Ia 31) e risultare da una valutazione dell'insieme delle circostanze, tra cui i precedenti dell'accusato, il suo comportamento durante l'istruttoria, la sua personalità, la sua costituzione fisica e soprattutto psichica e le modalità di commissione dei reati (LUVINI, I presupposti materiali del carcere preventivo nel processo penale ticinese, REP. 1989, pag. 294; G. PIQUEREZ, Manuel de procédure pénale suisse, Zurich 2001, n. 1479/1483). In concreto, oltre all'atteggiamento reticente e negatorio avuto dall'istante durante l'inchiesta, a sostegno della sussistenza di tale rischio depone pure l'esistenza di precedenti specifici. In particolare, dal casellario giudiziario risulta che a far tempo dal 2002 ha subito cinque condanne con DA per furto e/o ricettazione e/o furto di lieve entità, per le quali ha già scontato pene detentive. Ciononostante egli ha continuato a delinquere. Basti qui rilevare che l'ultimo arresto, quello del 27 aprile 2004 poi sfociato nel DA 1629/2004 al quale è stata interposta opposizione, è avvenuto circa 3 mesi dopo l'espiazione di una pena detentiva, quella oggetto del DA emanato il 22 ottobre 2003. In siffatte circostanze la messa in libertà dell'istante, così come evidenziato dal Procuratore pubblico in sede di osservazioni, rende concreto il rischio di reiterazione dei reati.</w:t>
      </w:r>
    </w:p>
    <w:p>
      <w:r>
        <w:rPr>
          <w:b/>
        </w:rPr>
        <w:t>E. 5</w:t>
      </w:r>
    </w:p>
    <w:p>
      <w:r>
        <w:t>In conclusione, l'istanza di libertà provvisoria presentata da __________ è respinta in quanto sussistono concreto pericolo di fuga e di recidiva e non sono date (o applicabili) misure sostitutive idonee a ridurre tali pericoli. Il mantenimento del carcere preventivo in vista dell'apertura del dibattimento, che dovrà avvenire nei termini di legge, è ancora rispettoso del principio di proporzionalità. P.Q.M. visti gli artt. 160 cifra 1 cpv. 1, 139 cifra 1 e 172 ter combin. CP, 19° cifra 1 LFStup, 51 cpv. 1 LTP in relazione con l'art. 1 cpv. 1 OTP, 95 ss, 96, 102, 108, 284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