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INC.2003.5602 vom 20. Juni 2003</w:t>
      </w:r>
    </w:p>
    <w:p>
      <w:r>
        <w:t>TI Tribunale d'appello, 2003-06-20, IT</w:t>
      </w:r>
    </w:p>
    <w:p>
      <w:r>
        <w:rPr>
          <w:b/>
        </w:rPr>
        <w:t xml:space="preserve">Quelle: </w:t>
      </w:r>
      <w:r>
        <w:t>https://mcp.opencaselaw.ch/entscheid/ti_gerichte_INC.2003.5602</w:t>
      </w:r>
    </w:p>
    <w:p>
      <w:r>
        <w:t>FR: TI_GERICHTE INC.2003.5602 du 20 juin 2003</w:t>
      </w:r>
    </w:p>
    <w:p>
      <w:r>
        <w:t>IT: TI_GERICHTE INC.2003.5602 del 20 giugno 2003</w:t>
      </w:r>
    </w:p>
    <w:p>
      <w:pPr>
        <w:pStyle w:val="Heading2"/>
      </w:pPr>
      <w:r>
        <w:t>Regeste</w:t>
      </w:r>
    </w:p>
    <w:p>
      <w:r>
        <w:t>Sentenza o decisione senza scheda</w:t>
      </w:r>
    </w:p>
    <w:p>
      <w:pPr>
        <w:pStyle w:val="Heading2"/>
      </w:pPr>
      <w:r>
        <w:t>Erwägungen</w:t>
      </w:r>
    </w:p>
    <w:p>
      <w:r>
        <w:rPr>
          <w:b/>
        </w:rPr>
        <w:t>E. 1</w:t>
      </w:r>
    </w:p>
    <w:p>
      <w:r>
        <w:t>La legittimazione di __________, accusato detenuto, all'inoltro della presente istanza, trasmessa a questo ufficio nei termini di legge, è pacifica.</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Sufficienti presupposti di legge, come anche esplicati dalla prassi e dalla giurisprudenza, sono presenti nella situazione personale e processuale di __________ a legittimare e giustificare il perdurare della cautelare privazione della sua libertà.</w:t>
      </w:r>
    </w:p>
    <w:p>
      <w:r>
        <w:rPr>
          <w:b/>
        </w:rPr>
        <w:t>E. 3.1</w:t>
      </w:r>
    </w:p>
    <w:p>
      <w:r>
        <w:t>Preliminarmente occorre osservare che, sin dall'inizio dell'inchiesta, il comportamento di __________ ha suscitato dei sospetti in ordine al suo coinvolgimento nell'incendio in questione. Egli, infatti, sebbene a conoscenza della distruzione dello stabile in cui era sito l'esercizio pubblico, di cui era gerente e, a quanto è dato sapere, sua unica fonte di sostentamento è comunque rimasto a __________, facendo rientro in Ticino soltanto alla fine del mese di gennaio. Sospetti ulteriormente corroborati dall'atteggiamento affatto collaborativo da lui dimostrato. Basti qui rilevare che nel corso dei primi verbali, egli ha sempre negato di conoscere sia __________ che __________, ammettendo poi un mese dopo di aver dato ospitalità a __________ presso l'__________, omettendo di notificarlo alle Autorità dietro richiesta di quest'ultimo e benché quasi non lo conoscesse (cfr. verbali POL n. 86 e 151). Ciò premesso, dagli atti risulta che i seri e concreti indizi di colpevolezza a carico dell'istante emergono non soltanto dalle dichiarazioni di __________, ma anche da quelle di __________ e di __________, nipote di __________. In particolare, __________ ha formulato una chiara chiamata in correità nei confronti del qui istante, già nel corso del primo verbale di interrogatorio, indicandolo quale mandante dell'incendio (cfr. verbale POL 5 marzo 2003. doc. __________ ). Egli ha mantenuto la propria versione dei fatti anche nei successivi verbali, precisando che era stato __________ a dargli il denaro per pagare la benzina servita per appiccare l'incendio (cfr. verbali POL 6, 12 e 20 marzo 2003 n. __________; nonché verbale PP 11 aprile 2003), che per lui era scontato che __________ avesse deciso di bruciare il locale per intascare i soldi dall'assicurazione (cfr. verbali POL 27 e 28 marzo 2003, n. __________). Tali asserzioni, contrariamente a quanto sostenuto dalla difesa sono attendibili, in quanto trovano conferma, seppure indirettamente, nelle dichiarazioni rilasciate da __________ e __________, nonché in altri atti istruttori esperiti. __________, pur asserendo che __________ non gli avrebbe mai detto esplicitamente che l'incendio era stato commissionato da __________ per questioni assicurative, ha più volte ripetuto di aver pensato che l'ideatore di tutto fosse quest'ultimo, in quanto __________ gli aveva parlato di un compenso di fr. 10'000.-- (cfr. verbali POL. 20 febbraio 2003, 7 marzo 2003 e 26 marzo 2003, n. __________ e __________). __________, nipote di __________, ha affermato che suo zio gli aveva raccontato di avere ricevuto l'incarico di incendiare l'__________ dal gerente del locale e da un'altra persona, __________ (cfr. verbali POL 7 marzo 2003 n. __________, confermati dinnanzi al PP nel verbale 10 marzo 2003, n. __________). Le dichiarazioni di __________, secondo cui egli si sarebbe recato a comprare la benzina, per un importo complessivo di circa fr. 200.--, con __________ verso le 20 del 21 dicembre 2002 in una stazione di servizio nei pressi di __________, trovano conferma sia in una registrazione della cassa automatica della stazione __________, sia nei tabulati relativi al natel di __________ (con carta SIM __________), da cui risulta che lo stesso alle ore 19.55 era allacciato all'antenna di __________, paese dal quale egli aveva dichiarato di non essere passato quella sera (cfr. verbale PP 9 maggio 2003 e 5 giugno 2003). A ciò si aggiunge che la sera del 21 dicembre 2002 __________, gerente del salone per parrucchiera, sito al piano terreno dello stabile sede dell'__________, ha provveduto alla chiusura del locale unitamente a __________, consegnando poi a quest'ultimo le chiavi del locale (accessibile solo dall'esterno); nel locale era rimasto il natel Nokia __________ con carta SIM __________, di proprietà di __________ ed in uso al salone (cfr. verbale POL __________ 4 gennaio 2003 n. __________ e __________ 30 gennaio 2003 n. __________). Orbene, al momento del recupero dei feriti dopo l'esplosione è risultato che __________ aveva un cellulare con inserita la suddetta carta SIM, mentre il cellulare Nokia è stato trovato addosso a __________, il quale ha dichiarato di averlo ricevuto da __________, un paio di giorni prima di Natale, in cambio del proprio (un Telit) (cfr. verbali POL __________ 14 gennaio 2003 n. __________ e __________). Da tali circostanze emergono quindi sufficienti elementi per ritenere che il Nokia sia stato consegnato a __________ dal qui istante, l'unico ad avere accesso al salone, e che i due si conoscevano (bene); ciò che rende poco credibili le asserzioni di __________ secondo cui il soggiorno di __________ presso l'__________ sarebbe stato del tutto causale.</w:t>
      </w:r>
    </w:p>
    <w:p>
      <w:r>
        <w:rPr>
          <w:b/>
        </w:rPr>
        <w:t>E. 3.2</w:t>
      </w:r>
    </w:p>
    <w:p>
      <w:r>
        <w:t>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 (GIAR 23 settembre 2002 in re Y.) Va da sé che i criteri sopra esposti richiedono applicazione più restrittiva allorquando l'inchiesta (e la detenzione) é in corso da un certo tempo. Interrogato dalla polizia al momento del fermo, così come in sede di conferma dell'arresto, l'accusato ha sostanzialmente tenuto un atteggiamento negatorio. Atteggiamento che è stato mantenuto nel prosequio dell'inchiesta. La palese divergenza fra le dichiarazioni rese da __________ e quelle di __________ rende necessario che si proceda ad un confronto, sino ad ora non esperito a causa della precarie condizioni di salute di __________. Come detto, nel preavviso negativo il Procuratore pubblico ha evidenziato che già la prossima settimana si procederà ad una nuova audizione di quest'ultimo e che sarà quindi possibile farsi un'idea più precisa sulla possibilità di procedere a breve ad un confronto con il qui istante ed eventualmente con __________. Il magistrato inquirente ha pure evidenziato che fino a questo momento è necessario ( "vitale" ) che non vi siano interferenze con __________. Da parte sua la difesa, in sede di osservazioni, ha rilevato che non vi è alcuna necessità che la detenzione di __________ venga mantenuta in attesa del confronto, visto che lo stesso si è presentato alle autorità inquirenti al suo ritorno da __________, motivo per cui non vi sarebbe alcun pericolo di collusione o inquinamento delle prove, tanto più che __________ si trova tuttora in stato di arresto presso un ospedale oltre Gottardo. Evidenzia poi che gli episodi indicati dal magistrato inquirente (incendio casa dei genitori di __________ e taglio gomme) sono comunque avvenuti mentre l'istante si trovava in carcere e quindi egli vi è del tutto estraneo. Se è ben vero che __________ non ha direttamente partecipato a tali fatti, è altrettanto vero che gli stessi sono indicativi del particolare ambiente in cui si muovono i personaggi implicati in questa vicenda, contraddistinto da omertà e "paura". Ciò che non permette affatto di escludere l'intensificarsi di ritorsioni e pressioni, che verrebbe favorito dalla messa in libertà dell'accusato, nei confronti dei famigliari dei correi, segnatamente di quelli di __________. Relativamente all'asserita collaborazione di __________, non si può che rinviare a quanto esposto sub. 3.1. sul suo atteggiamento nel corso dell'inchiesta.</w:t>
      </w:r>
    </w:p>
    <w:p>
      <w:r>
        <w:rPr>
          <w:b/>
        </w:rPr>
        <w:t>E. 3.3</w:t>
      </w:r>
    </w:p>
    <w:p>
      <w:r>
        <w:t>I criteri determinanti per stabilire se esista pericolo di fuga sono il carattere del prevenuto, il suo domicilio, la sua professione, la sua situazione familiare ed i suoi legami con lo Stato in cui egli è inquisito (SJ 103/1981, 135; sentenza 31 marzo 1992 in re S. C. del Tribunale federale, sentenza 20 ottobre 1994 in re M.A., CRP 314/94) e l'apprezzamento di tutte tali circostanze, per invocare appunto un rischio di fuga, deve lasciar presumere che le conseguenze di una fuga appaiono rispetto all'accusato come un male minore rispetto a quello derivante per lui dall'ulteriore carcerazione, con maggior forza quanto più i reati imputati comportino pene edittali od eventualità di pena concreta importante (in questo senso M. Luvini, in Rep. 1989, p. 292 e ss. e riferimenti ivi indicati; sentenza 14 novembre 1994 in re S.V., CRP 341/94). Sebbene non indicato in sede di conferma dell'arresto, tale pericolo non può essere escluso a priori, tenuto conto che l'imputato è cittadino italiano, dove ha ancora vari parenti (zii ecc.) e che attualmente è disoccupato. Tali circostanze, nonché l'atteggiamento sostanzialmente negatorio e reticente, rendono concreto il pericolo che __________, una volta messo in libertà provvisoria, tenti di sottrarsi al procedimento, dandosi alla fuga, tenuto conto della presumibile pena (di reclusione) in caso di condanna. Abbondanzialmente va osservato che tale pericolo, a questo stadio della procedura, non potrebbe essere ovviato dall'applicazione di una misura sostitutiva ai sensi dell'art. 96 CPP, come proposto dalla difesa, tanto più che tali misure sono notoriamente inadatte a scongiurare il pericolo di inquinamento e collusione delle prove, anch'esso dato nel caso in esame.</w:t>
      </w:r>
    </w:p>
    <w:p>
      <w:r>
        <w:rPr>
          <w:b/>
        </w:rPr>
        <w:t>E. 4</w:t>
      </w:r>
    </w:p>
    <w:p>
      <w:r>
        <w:t>Intimazione: - Procuratore pubblico avv. __________ (con l'inc. MP __________ di ritorno e copia delle osservazioni 18 giugno 2003 della patrocinatrice dell’accusato); - avv. __________, per sé e per l’accusato. p. giudice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