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INC.2003.45803 vom 17. September 2003</w:t>
      </w:r>
    </w:p>
    <w:p>
      <w:r>
        <w:t>TI Tribunale d'appello, 2003-09-17, IT</w:t>
      </w:r>
    </w:p>
    <w:p>
      <w:r>
        <w:rPr>
          <w:b/>
        </w:rPr>
        <w:t xml:space="preserve">Quelle: </w:t>
      </w:r>
      <w:r>
        <w:t>https://mcp.opencaselaw.ch/entscheid/ti_gerichte_INC.2003.45803</w:t>
      </w:r>
    </w:p>
    <w:p>
      <w:r>
        <w:t>FR: TI_GERICHTE INC.2003.45803 du 17 septembre 2003</w:t>
      </w:r>
    </w:p>
    <w:p>
      <w:r>
        <w:t>IT: TI_GERICHTE INC.2003.45803 del 17 settembre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17.09.2003 INC.2003.45803 Tessin Il Giudice dell'istruzione e dell'arresto 17.09.2003 INC.2003.45803 Ticino Il Giudice dell'istruzione e dell'arresto 17.09.2003 INC.2003.45803</w:t>
      </w:r>
    </w:p>
    <w:p>
      <w:r>
        <w:t>Sentenza o decisione senza scheda</w:t>
      </w:r>
    </w:p>
    <w:p>
      <w:r>
        <w:t>Incarto n. INC.2003.45803 Lugano 17 settembre 2003 In nome della Repubblica e Cantone del Ticino Il Giudice dell'istruzione e dell'arresto __________ sedente per statuire sul reclamo presentato il 5/8 settembre 2003 da __________ , cittadino americano, rappr. dall'avv. __________ contro la decisione 3 settembre 2003 con la quale il Procuratore pubblico __________ ha ordinato il trasferimento del reclamante alle Celle pretoriali di Bellinzona; letti ed esaminati gli atti; preso atto che con decisione 12 settembre 2003 il Procuratore pubblico ha autorizzato il trasferimento di __________ al PCT, come richiesto dal reclamante, prima della decisione di questo giudice sul reclamo 5 settembre 2003, che conseguentemente è divenuto privo di oggetto; il reclamo può quindi essere stralciato dai ruoli senza carico di tasse e spese, ma per sostanziale adesione al reclamo, con attribuzione di ripetibili; richiamati gli art. 95 ss. CPP, decide 1. Il reclamo 5/8 settembre 2003 è stralciato dai ruoli, in quanto divenuto privo di oggetto. 2. Non si prelevano tasse e spese di giudizio, lo Stato verserà al reclamante fr. 300.-- a titolo di ripetibili. 3. Intimazione a: -     avv. __________, per sé e per il reclamante (con copia delle osservazioni 10 settembre 2003 del magistrato inquirente); -     PP __________ (con l'incarto MP __________ di ritorno).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