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INC.2002.5407 vom 7. Mai 2003</w:t>
      </w:r>
    </w:p>
    <w:p>
      <w:r>
        <w:t>TI Tribunale d'appello, 2003-05-07, IT</w:t>
      </w:r>
    </w:p>
    <w:p>
      <w:r>
        <w:rPr>
          <w:b/>
        </w:rPr>
        <w:t xml:space="preserve">Quelle: </w:t>
      </w:r>
      <w:r>
        <w:t>https://mcp.opencaselaw.ch/entscheid/ti_gerichte_INC.2002.5407</w:t>
      </w:r>
    </w:p>
    <w:p>
      <w:r>
        <w:t>FR: TI_GERICHTE INC.2002.5407 du 7 mai 2003</w:t>
      </w:r>
    </w:p>
    <w:p>
      <w:r>
        <w:t>IT: TI_GERICHTE INC.2002.5407 del 7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06.05.2003 INC.2002.5407 Tessin Il Giudice dell'istruzione e dell'arresto 06.05.2003 INC.2002.5407 Ticino Il Giudice dell'istruzione e dell'arresto 06.05.2003 INC.2002.5407</w:t>
      </w:r>
    </w:p>
    <w:p>
      <w:r>
        <w:t>Sentenza o decisione senza scheda</w:t>
      </w:r>
    </w:p>
    <w:p>
      <w:r>
        <w:t>Incarto n. INC.2002.5407 Lugano 7 maggio 2003 In nome della Repubblica e Cantone del Ticino Il Giudice dell'istruzione e dell'arresto __________ sedente per statuire sul reclamo presentato il 24/29 aprile 2003 da __________ , attualmente detenuto c/o Carcere di __________ patrocinato dall'avv. __________ contro le decisioni 11/14 aprile 2003 di deposito atti e complementi d'inchiesta e 22/23 aprile 2003 di proroga del termine del deposito atti, entrambe del Procuratore generale avv. __________ (inc. __________); visto lo scritto 30 aprile 2003 del Procuratore generale mediante il quale si comunica la concessione di una ulteriore proroga del deposito atti; preso atto dell'accordo verbale da parte del legale del ricorrente a che il reclamo sia, ora, considerato privo d'oggetto riservato giudizio sulle ripetibili; ritenuto che lo scritto 30 aprile 2003 del Procuratore generale contiene adesione, perlomeno di fatto, a parte delle richieste del reclamante; viste le norme applicabili ed in particolare gli artt. 138 e 146 CP, 161 ss, 118, 280 ss, 284, 9 cpv. 4 CPP, decide: 1. Il reclamo è stralciato dai ruoli in quanto divenuto privo d'oggetto. 2. Non si prelevano tasse e spese, ma al reclamante lo Stato verserà FRS 300.- a titolo di ripetibili. 3. Intimazione: -    avv. __________, per sé e per il reclamante (con copia delle osservazioni del magistrato inquirente); -    Procuratore generale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