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INC.2002.41601 vom 6. November 2002</w:t>
      </w:r>
    </w:p>
    <w:p>
      <w:r>
        <w:t>TI Tribunale d'appello, 2002-11-06, IT</w:t>
      </w:r>
    </w:p>
    <w:p>
      <w:r>
        <w:rPr>
          <w:b/>
        </w:rPr>
        <w:t xml:space="preserve">Quelle: </w:t>
      </w:r>
      <w:r>
        <w:t>https://mcp.opencaselaw.ch/entscheid/ti_gerichte_INC.2002.41601</w:t>
      </w:r>
    </w:p>
    <w:p>
      <w:r>
        <w:t>FR: TI_GERICHTE INC.2002.41601 du 6 novembre 2002</w:t>
      </w:r>
    </w:p>
    <w:p>
      <w:r>
        <w:t>IT: TI_GERICHTE INC.2002.41601 del 6 novembre 2002</w:t>
      </w:r>
    </w:p>
    <w:p>
      <w:pPr>
        <w:pStyle w:val="Heading2"/>
      </w:pPr>
      <w:r>
        <w:t>Regeste</w:t>
      </w:r>
    </w:p>
    <w:p>
      <w:r>
        <w:t>Sentenza o decisione senza scheda</w:t>
      </w:r>
    </w:p>
    <w:p>
      <w:pPr>
        <w:pStyle w:val="Heading2"/>
      </w:pPr>
      <w:r>
        <w:t>Erwägungen</w:t>
      </w:r>
    </w:p>
    <w:p>
      <w:r>
        <w:rPr>
          <w:b/>
        </w:rPr>
        <w:t>E. 17</w:t>
      </w:r>
    </w:p>
    <w:p>
      <w:r>
        <w:t>marzo 1992 in re G.M., CRP 38/92; decisione 24 novembre 1997 in re RTSI, GIAR 650.97.1, e riferimenti); -    il sequestro, per la sua qualità di provvedimento eminentemente cautelare, ha lo scopo di acquisire e conservare gli oggetti di cui sopra al dispiegamento della procedura e quindi alle necessità dell’istruzione preliminare, alle decisioni del magistrato requirente ed a quelle del giudice del merito come evidenziato nella duplice prospettiva - alternativa o cumulativa - della produzione e valutazione delle prove (sequestro probatorio) e delle decisioni di confisca, restituzione o devoluzione, il che sarebbe qui il caso (sequestro confiscatorio): come in tutti gli istituti procedurali, che intaccano eccezionalmente i diritti individuali per prevalenza di interesse pubblico, il sequestro è legittimo unicamente in presenza concorrente di sufficienti indizi di reato e di connessione tra questo e l’oggetto che così occorre salvaguardare agli incombenti processuali e di giudizio, tenuto anche conto del principio di proporzionalità; -    il conteso inventario ha fatto oggetto di cessioni e trasferimenti, senza grandi riscontri di chiarezza fattuale e contrattuale: la proprietaria originaria __________ lo cedette, con riserva di proprietà (non iscritta) sino a suo completo pagamento, a __________ ed altre due persone poi estraniate; esso venne successivamente messo a disposizione a titolo fiduciario della ditta __________, che assunse pure la gestione del Bar __________, con contratto sottoscritto dall'allora socio gerente __________; a quest'ultimo sono subentrati ai vertici della __________ __________, quale socia gerente con diritto di firma individuale, e __________, quale socio senza diritto di firma; da ultimo la gerente __________ ha ceduto il bar, inventario compreso, a __________, nell'ambito della ditta __________, di cui lo stesso __________ è amministratore unico; -    i denuncianti e reclamanti asseverano l'esistenza di manovre intese ad appropriarsi dell'inventario, trasferendolo a __________ per loro vantaggio pecuniario, non avendolo interamente pagato e per contro avendo trattenuto il prezzo di cessione, con inganno anche del proprietario dello stabile ing. __________ nella stipulazione del nuovo contratto di locazione con la ditta __________, come risulta dalla lettera 23 novembre 2001 dell'ing. __________ a quest'ultima, a conferma di essersi trovato raggirato, per cui disdiceva il contratto (doc. A di denuncia); -    il Procuratore pubblico, come all'esposto nelle osservazioni al presente reclamo, non ravvede elementi per sostenere l'esistenza di concreti e sufficienti sospetti di reato ed in particolare che " la __________ abbia acquisito la disponibilità dell'inventario dell'esercizio pubblico mediante un reato " e che __________ " abbia acquisito l'inventario mediante un reato perché sapeva o doveva presumere che la __________ non aveva la disponibilità dei beni da lui poi rilevati "; - in effetti l'inchiesta non consente un'altra determinazione, al di là della costatazione di rapporti alquanto confusi e di accordi contrattuali non sempre precisi, le divergenze non sembrando travalicare il campo civile: l'apparente probanza del comportamento dell'ing. __________, al confronto con preteso inganno, non ha trovato riscontro nel suo interrogatorio del 29 gennaio 2002 dinnanzi al Procuratore pubblico, dove ha affermato che la lettera del 23 novembre 2001 (menzionata sopra) venne redatta dalle controparti (come confermato dall'intestazione semplicemente a macchina), e che l'ha " firmata pensando che se era preparata da avvocati sicuramente doveva essere tutto in regola e in ordine ", smentendosi poi - su inganno e conseguente disdetta - per fatti concludenti come risulta implicitamente dal suo scritto (qui su propria carta intestata) all'autorità cantonale competente dove, " in risposta alla Vostra lettera del 5.12 u.s. ", comunica che ," per accordi intervenuti tra le parti ", il contratto di affitto con la __________ " rimane tuttora valido " (documento prodotto il 29 gennaio 2002 da __________ in occasione del suo interrogatorio dinnanzi al Procuratore pubblico, senza particolari approfondimenti o commenti); -    i reclami vanno conseguentemente respinti con la presente decisione suscettibile di ricorso alla Camera dei ricorsi penali (art. 284 cpv. 1 lett. a CPP): tassa e spese di giudizio (art. 39 lett. f TG) sono a carico dei reclamanti in solido ed in parti uguali, a ragione della loro soccombenza; visti gli art. 161 e 284 cpv. 1 lett. a CPP e per le spese l'art. 39 lett. f TG, decide: 1. I reclami sono respinti. 2. La tassa di giustizia di fr. 400.- e le spese di fr. 40.- sono a carico dei reclamanti in solido ed in parti uguali. 3. Contro la presente decisione è dato ricorso alla Camera dei ricorsi penali entro dieci giorni dall'intimazione. Intimazione. giudice Claudio Lepori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