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INC.2002.24603 vom 15. Mai 2002</w:t>
      </w:r>
    </w:p>
    <w:p>
      <w:r>
        <w:t>TI Tribunale d'appello, 2002-05-15, IT</w:t>
      </w:r>
    </w:p>
    <w:p>
      <w:r>
        <w:rPr>
          <w:b/>
        </w:rPr>
        <w:t xml:space="preserve">Quelle: </w:t>
      </w:r>
      <w:r>
        <w:t>https://mcp.opencaselaw.ch/entscheid/ti_gerichte_INC.2002.24603</w:t>
      </w:r>
    </w:p>
    <w:p>
      <w:r>
        <w:t>FR: TI_GERICHTE INC.2002.24603 du 15 mai 2002</w:t>
      </w:r>
    </w:p>
    <w:p>
      <w:r>
        <w:t>IT: TI_GERICHTE INC.2002.24603 del 15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15.05.2002 INC.2002.24603 Tessin Il Giudice dell'istruzione e dell'arresto 15.05.2002 INC.2002.24603 Ticino Il Giudice dell'istruzione e dell'arresto 15.05.2002 INC.2002.24603</w:t>
      </w:r>
    </w:p>
    <w:p>
      <w:r>
        <w:t>Sentenza o decisione senza scheda</w:t>
      </w:r>
    </w:p>
    <w:p>
      <w:r>
        <w:t>N. 246.2002.3 L                                                         Lugano, 15 maggio 2002 IL GIUDICE DELL'ISTRUZIONE E DELL'ARRESTO DELLA REPUBBLICA E CANTONE DEL TICINO __________ sedente per statuire sull'istanza di libertà provvisoria presentata il 6 maggio 2002 da __________ , (patrocinata dall'avv. __________) e qui trasmessa con preavviso negativo il 10/13 maggio 2002 dal Procuratore pubblico avv. __________; viste le osservazioni 14 maggio 2002 dell'accusata (redatte in collaborazione per subdelega con l'avv. __________), che conferma contenuti e conclusioni dell'istanza; preso atto che - l'accusata è stata posta in libertà il 14 maggio 2002, dopo interrogatorio da parte del Procuratore pubblico e intimazione di decreto di accusa, in presenza del patrocinatore; - l'istanza è divenuta così priva di oggetto, con suo conseguente stralcio dai ruoli; - non vi sono spese giudiziarie a carico dell'istante, sostanzialmente vincente, né si attribuiscono ripetibili, essendo stato concesso il beneficio del gratuito patrocinio, con separata decisione; richiamati gli art. 95 ss. CPP, decreta: 1. L'istanza è evasa, in quanto divenuta priva di oggetto. 2. Non si percepiscono tasse di giustizia né si attribuiscono ripetibili. 3. Intimazione: - avv. __________, per sé e per l'accusata; - Procuratore pubblico avv. __________ (con copia delle osservazioni dell'accusata e con l'inc. MP 388/2000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