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INC.2001.36003 vom 21. August 2001</w:t>
      </w:r>
    </w:p>
    <w:p>
      <w:r>
        <w:t>TI Tribunale d'appello, 2001-08-21, IT</w:t>
      </w:r>
    </w:p>
    <w:p>
      <w:r>
        <w:rPr>
          <w:b/>
        </w:rPr>
        <w:t xml:space="preserve">Quelle: </w:t>
      </w:r>
      <w:r>
        <w:t>https://mcp.opencaselaw.ch/entscheid/ti_gerichte_INC.2001.36003</w:t>
      </w:r>
    </w:p>
    <w:p>
      <w:r>
        <w:t>FR: TI_GERICHTE INC.2001.36003 du 21 août 2001</w:t>
      </w:r>
    </w:p>
    <w:p>
      <w:r>
        <w:t>IT: TI_GERICHTE INC.2001.36003 del 21 agosto 2001</w:t>
      </w:r>
    </w:p>
    <w:p>
      <w:pPr>
        <w:pStyle w:val="Heading2"/>
      </w:pPr>
      <w:r>
        <w:t>Regeste</w:t>
      </w:r>
    </w:p>
    <w:p>
      <w:r>
        <w:t>Sentenza o decisione senza scheda</w:t>
      </w:r>
    </w:p>
    <w:p>
      <w:pPr>
        <w:pStyle w:val="Heading2"/>
      </w:pPr>
      <w:r>
        <w:t>Erwägungen</w:t>
      </w:r>
    </w:p>
    <w:p>
      <w:r>
        <w:rPr>
          <w:b/>
        </w:rPr>
        <w:t>E. 31</w:t>
      </w:r>
    </w:p>
    <w:p>
      <w:r>
        <w:t>marzo 1992 in re S.C. del Tribunale federale; sentenza 20 ottobre 1994 in re M.A., CRP 314/94), ritenuto che l'apprezzamento di tutte le circostanze, per invocare appunto un rischio di fuga, deve lasciar presumere che le conseguenze di una fuga appaiano per l’accusato come un male minore rispetto a quello derivante per lui dall'ulteriore carcerazione (in questo senso Mario Luvini ; loc. cit., pag. 292, con i riferimenti ivi indicati; sentenza 14 novembre 1994 in re S.V., CRP 341/94): ora __________ si trova confrontato con realtà di nuovo procedimento, aggravato dai precedenti, quindi con anche già conclamata (v. gli scritti in atti) scelta della latitanza ad evitare ulteriore espiazione, seguita da espulsione e rimpatrio forzato; - il carcere preventivo sin qui sofferto e prevedibile sino alla conclusione del procedimento (essendo prossima l'emanazione dell'atto di accusa) è rispettoso del principio di proporzionalità, avuto riguardo alla perseveranza nel reato ed al comportamento istruttorio dell'accusato, alquanto insofferente, ma senza riscontri di problemi psichici (v. il rapporto 13 luglio 2001 del dott. __________); - l’istanza - di principio irricevibile e non sanata dalle osservazioni al preavviso negativo, come già rilevato - è abbondanzialmente respinta con la presente decisione, esente da tassa e spese giudiziarie (art. 39 lett. f TG e contrario), e suscettibile di impugnazione alla Camera dei ricorsi penali (art. 284 cpv. 1 lett. a CPP); richiamati i citati articoli di legge, decide: 1. L’istanza di libertà provvisoria è irricevibile ed abbondanzialmente respinta nel merito 2. Non si percepiscono né tassa né spese giudiziarie. 3. Contro la presente decisione è dato ricorso alla Camera dei ricorsi penali entro dieci giorni dall’intimazione. 4. Intimazione: -    lic. iur. __________, per sé e per l’istante; -    Procuratrice pubblica avv. __________, sede, per sé e per la collega dott. __________ (con copia delle osservazioni dell’istante e con gli atti dell’incarto MP __________ di ritorno); -    Presidente della Corte delle Assise correzionali (con l'inc.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