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INC.2001.31401 vom 28. Juni 2001</w:t>
      </w:r>
    </w:p>
    <w:p>
      <w:r>
        <w:t>TI Tribunale d'appello, 2001-06-28, IT</w:t>
      </w:r>
    </w:p>
    <w:p>
      <w:r>
        <w:rPr>
          <w:b/>
        </w:rPr>
        <w:t xml:space="preserve">Quelle: </w:t>
      </w:r>
      <w:r>
        <w:t>https://mcp.opencaselaw.ch/entscheid/ti_gerichte_INC.2001.31401</w:t>
      </w:r>
    </w:p>
    <w:p>
      <w:r>
        <w:t>FR: TI_GERICHTE INC.2001.31401 du 28 juin 2001</w:t>
      </w:r>
    </w:p>
    <w:p>
      <w:r>
        <w:t>IT: TI_GERICHTE INC.2001.31401 del 28 giugno 2001</w:t>
      </w:r>
    </w:p>
    <w:p>
      <w:pPr>
        <w:pStyle w:val="Heading2"/>
      </w:pPr>
      <w:r>
        <w:t>Regeste</w:t>
      </w:r>
    </w:p>
    <w:p>
      <w:r>
        <w:t>Sentenza o decisione senza scheda</w:t>
      </w:r>
    </w:p>
    <w:p>
      <w:pPr>
        <w:pStyle w:val="Heading2"/>
      </w:pPr>
      <w:r>
        <w:t>Erwägungen</w:t>
      </w:r>
    </w:p>
    <w:p>
      <w:r>
        <w:rPr>
          <w:b/>
        </w:rPr>
        <w:t>E. 1</w:t>
      </w:r>
    </w:p>
    <w:p>
      <w:r>
        <w:t>La legittimazione dei ricorrenti è data. Le relazioni bancarie poste sotto sequestro sono intestate a loro e __________ è pure indagato nel relativo procedimento. Il reclamo è tempestivo nella misura in cui si rivolge contro l’ordine 6 giugno 2001 che, in parte, ribadisce quello del 1 marzo 2001 nonché il rifiuto di dissequestro dell’11 giugno 2001.</w:t>
      </w:r>
    </w:p>
    <w:p>
      <w:r>
        <w:rPr>
          <w:b/>
        </w:rPr>
        <w:t>E. 2</w:t>
      </w:r>
    </w:p>
    <w:p>
      <w:r>
        <w:t>I principi generali in materia di perquisizione sequestro, quali misure cautelari, sebbene noti al patrocinatore dei reclamanti (che li ha estesamente menzionati nel reclamo) ed al Procuratore pubblico, sono ricordati qui di seguito. 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Sottostanno a tale tipo di confisca ai sensi dell’art. 59 cfr. 1 cpv. 1 CPS anche cosiddetti valori sostitutivi (“Surrogate”, v. Schmid, cit., pto. 4.3.2, p. 334 ss.).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venire attribuiti direttamente alla parte lesa in applicazione dell’art. 59 cfr. 1 cpv. 1 ultima frase CPS (v. Schmid, cit., pto. 4.4.1, p. 339). Infine,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Per non vanificare la portata di questa norma, il magistrato inquirente può ordinare il sequestro di tali beni a titolo probatorio, confiscatorio (art. 161 cpv. 1 e 2 lit. b CPP; v. Schmid, cit., pto. 6.3, p. 362) oppure risarcitorio (art. 59 cfr. 2 cpv. 3 CPS). 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 Pacifico che anche il sequestro del provento di reato acquisito da un terzo (art. 59 cifra 1 cpv. 2), così come quello ai fini di garanzia del risarcimento compensatorio (art. 59 cifra 2 cpv. 3 CP) debbono rispettare i principi menzionati con la precisazione che la connessione ai fini del giudizio di merito è, nel secondo caso, l’appartenenza del bene (o valore) alla sfera economica dell’indiziato/accusato.</w:t>
      </w:r>
    </w:p>
    <w:p>
      <w:r>
        <w:rPr>
          <w:b/>
        </w:rPr>
        <w:t>E. 2.1</w:t>
      </w:r>
    </w:p>
    <w:p>
      <w:r>
        <w:t>Di conseguenza la relazione no. __________ intestata a __________, presso la __________, è dissequestrata. 3. La tassa di giustizia di fr. 500.- è a carico di __________. 4. Alla __________ sono assegnati fr. 100.- di ripetibili a carico dello Stato. 5. Contro la presente decisione è dato reclamo alla CRP entro 10 giorni dall’intimazione.</w:t>
      </w:r>
    </w:p>
    <w:p>
      <w:r>
        <w:rPr>
          <w:b/>
        </w:rPr>
        <w:t>E. 3</w:t>
      </w:r>
    </w:p>
    <w:p>
      <w:r>
        <w:t>Nell’esame dell’esistenza di gravi indizi di colpevolezza, lo scrivente giudice deve imporsi precisi limiti, derivantigli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Ciò premesso, alla luce degli elementi di seguito riportati, le ipotesi accusatorie alla base dell’ordine impugnato (artt. 160 e 305bis CP) non appaiono inverosimili e sono sufficienti a giustificare l’ordine di perquisizione e sequestro. Più fonti indicano che i titoli depositati nell’autunno del 2000 sulla relazione __________ provengono da un furto (scritto __________ 21 febbraio 2001 in AI 1; documentazione proveniente dalla polizia __________ trasmessa da UFP con scritto 6 marzo 2001 in AI 4). Da una nota __________, conseguente ad accertamenti effettuati in un’inchiesta pendente in altro stato, risulta che la società destinataria (__________) della merce, fornita in base agli accordi contrattuali che prevedevano il pagamento mediante i titoli oggetto d’indagine, non esiste perlomeno con i dati indicati nel doc. 1 allegato al verbale __________ del 29 marzo 2001 (AI 8). Non è dato sapere quale valore sia stato conferito ai titoli nell’ambito dei contratti (valore di borsa, valore nominale, altro?). Il contratto del 1 settembre 2000 (doc. 1 allegato al verbale __________), non leggibile nel passaggio relativo alla seconda tranche di pagamento, menziona genericamente la consegna di titoli di pari importo. L’accordo dell’11 settembre 2000 (doc. 2) menziona un certo numero di titoli ed il loro valore facciale ma non evidenzia il relativo rapporto con un prezzo. Non è infondato l’argomento del Procuratore pubblico secondo cui la modalità di pagamento utilizzata nell’ambito della citata transazione commerciale, non è usuale. Infatti, non si spiega per quale motivo chi deve pagare una fornitura lo faccia consegnando titoli brevi manu tramite due corrieri e non vendendo i titoli (se non ha altre liquidità) bonificando poi l’importo via banca o, al limite, trasferendo i titoli da banca a banca. Inoltre ancora, i titoli dati in pagamento di una fornitura da parte della __________ non sono depositati su di una relazione intestata alla società stessa, bensì su un conto intestato a __________. Non è dato sapere quale sia, per la società, la contropartita contabile della prestazione in uscita. La produzione di due certificati __________ da parte dell’indagato qui reclamante (AI 11) non apporta chiarimenti definitivi; il mittente non risulta essere __________, il destinatario è la società che secondo la nota citata più sopra non esiste all’indirizzo che risulta sul contratto (doc.1) e, cosa più importante, il valore della merce fornita non è espresso dalla lettera di vettura né da fatture (che non sono) allegate. Alla luce di quanto sopra, tenuto in debito conto lo stadio del procedimento, debbono essere riconosciuti sufficienti indizi in merito all’esistenza dei reati di ricettazione e riciclaggio. Questi indizi, che giustificano proseguimento delle indagini per il migliore chiarimento dei fatti, giustificano pure l’emanazione di misure restrittive quali il sequestro.</w:t>
      </w:r>
    </w:p>
    <w:p>
      <w:r>
        <w:rPr>
          <w:b/>
        </w:rPr>
        <w:t>E. 4</w:t>
      </w:r>
    </w:p>
    <w:p>
      <w:r>
        <w:t>La connessione tra le ipotesi di reato e l’oggetto del sequestro è indiscutibile per quanto concerne la relazione __________. L’attivo della relazione è costituita  dal deposito titoli, ed i titoli depositati (meglio, quelli che rimangono) sono provento di reato (cfr. rapporto EFIN 1 I 7). Il sequestro si giustifica, sempre a questo stadio della procedura, anche solo a fini probatori. Il sequestro è pure giustificato anche ai fini di un'eventuale confisca. Infatti, se gli indizi di cui sopra dovessero trovare successiva conferma probatoria, o comunque rafforzarsi, l’ipotesi di una confisca è tutt’altro che da escludere. Il reclamante __________ sostiene di essere terzo in buona fede che ha fornito controprestazione equivalente, quindi, al beneficio dell’eccezione di cui all’art. 59 cpv. 2 CP. In proposito va detto che la buona fede di __________, alla luce di quanto detto al considerando 3 della presente decisione, non può dirsi liquida. Non basta il fatto di aver chiesto dei controlli sui titoli, né che questi controlli abbiano avuto luogo senza esito negativo per quanto concerne la “bontà” dei titoli. Perlomeno non basta se altri elementi sono forieri di dubbio. Il TF ha già avuto modo di stabilire, proprio in un caso di truffa con titoli rubati, che la richiesta di controlli, rispettivamente il fatto che determinati controlli non abbiano permesso di individuare l’inganno, non basta ad escludere il reato, rispettivamente il tentativo. Secondo l’alta corte, il diritto penale svizzero è retto dal principio della colpevolezza soggettiva, ossia riferita all’intenzione dell’agente, e sebbene gli obblighi di diligenza della vittima siano stati ribaditi, non si è inteso con ciò elevare particolarmente la soglia ed incoraggiare l’impunità di coloro che ricorrono alla frode confidando nel proscioglimento in base alle possibilità di controllo e verifica della vittima (DTF 10 giugno 1999 in re S.). Inoltre, nel caso specifico la controprestazione equivalente è tutta da dimostrare. La fornitura, che doveva essere pagata con i titoli oggetto di indagine, è stata effettuata da una persona morale ma i titoli sono stati immessi in deposito sul conto personale del qui reclamante. Il fatto che la relazione del reclamante sia stata costituita in pegno a favore della relazione no. __________ della __________, che a sua volta si è impegnata per il rilascio di una garanzia di LIT 1'000'000'000 a favore di una banca italiana affinché questa finanziasse la __________ (per egual importo) non è ancora sufficiente. Non va inoltre dimenticato che la banca italiana ha chiesto di escutere la garanzia perché __________ non rispettava gli obblighi conseguenti al finanziamento. Ora, la richiesta di escussione è stata presentata a fine maggio (AI 13) e la relazione __________, che garantisce indirettamente il credito erogato, è bloccata dal 1 marzo 2001. __________ (titolare di __________ e interessato in __________) ne è al corrente da tempo. Per la buona fede del reclamante non è irrilevante stabilire se il mancato rispetto degli obblighi derivanti dal finanziamento sia casuale (strutturale) oppure voluto per recuperare, indirettamente, i beni (parte dei beni) sotto sequestro.</w:t>
      </w:r>
    </w:p>
    <w:p>
      <w:r>
        <w:rPr>
          <w:b/>
        </w:rPr>
        <w:t>E. 5</w:t>
      </w:r>
    </w:p>
    <w:p>
      <w:r>
        <w:t>Diversa è la situazione per la relazione __________, già per il solo fatto che la stessa risulta essere passiva (AI 18). Il mantenimento del sequestro non si giustifica né per motivi probatori (a ciò bastando se necessario la documentazione) né per motivi confiscatori. Irrilevante, per la presente decisione, il fatto che gli attivi della relazione __________, il cui sequestro è qui confermato, siano oggetto di un atto generale di pegno a favore di eventuali impegni della __________. La questione concerne i rapporti tra l’istituto di credito e la società.</w:t>
      </w:r>
    </w:p>
    <w:p>
      <w:r>
        <w:rPr>
          <w:b/>
        </w:rPr>
        <w:t>E. 6</w:t>
      </w:r>
    </w:p>
    <w:p>
      <w:r>
        <w:t>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