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INC.2001.2319 vom 11. Oktober 2002</w:t>
      </w:r>
    </w:p>
    <w:p>
      <w:r>
        <w:t>TI Tribunale d'appello, 2002-10-11, IT</w:t>
      </w:r>
    </w:p>
    <w:p>
      <w:r>
        <w:rPr>
          <w:b/>
        </w:rPr>
        <w:t xml:space="preserve">Quelle: </w:t>
      </w:r>
      <w:r>
        <w:t>https://mcp.opencaselaw.ch/entscheid/ti_gerichte_INC.2001.2319</w:t>
      </w:r>
    </w:p>
    <w:p>
      <w:r>
        <w:t>FR: TI_GERICHTE INC.2001.2319 du 11 octobre 2002</w:t>
      </w:r>
    </w:p>
    <w:p>
      <w:r>
        <w:t>IT: TI_GERICHTE INC.2001.2319 del 11 ottobre 2002</w:t>
      </w:r>
    </w:p>
    <w:p>
      <w:pPr>
        <w:pStyle w:val="Heading2"/>
      </w:pPr>
      <w:r>
        <w:t>Regeste</w:t>
      </w:r>
    </w:p>
    <w:p>
      <w:r>
        <w:t>Sentenza o decisione senza scheda</w:t>
      </w:r>
    </w:p>
    <w:p>
      <w:pPr>
        <w:pStyle w:val="Heading2"/>
      </w:pPr>
      <w:r>
        <w:t>Erwägungen</w:t>
      </w:r>
    </w:p>
    <w:p>
      <w:r>
        <w:rPr>
          <w:b/>
        </w:rPr>
        <w:t>E. 1</w:t>
      </w:r>
    </w:p>
    <w:p>
      <w:r>
        <w:t>Come già esposto nella precedente decisione 15 aprile 2002 (incc. Giar 23.2001.17/18, consid. 1 p. 3 s.), il processo penale svizzero è retto dal principio dell’indivisibilità del perseguimento penale, secondo il quale non si può frazionare un’azione penale, in caso di pluralità di infrazioni commesse dallo stesso accusato, per istruire distinti procedimenti per ognuna di esse, oppure per esercitarla separatamente contro singoli accusati. Di principio, quindi, un procedimento va ritenuto indivisibile allorché più incriminazioni sono contemporaneamente mosse alla stessa persona, ed anche quando concerne più persone in qualità di autori o coautori, istigatori e complici. Solo preminenti divergenti motivi consentono in tali casi l’eccezione della disgiunzione, quando la ponderazione degli interessi in gioco la fanno più favorevole, oppure quando la connessione può risultare iniqua per un accusato: in questa prospettiva, è necessario che il mantenimento della congiunzione abbia la conseguenza di gravi inconvenienti, sia per l’istruzione formale, sia per il pubblico dibattimento, ad esempio quando l’autore si trovi in carcere preventivo ed il correo sia latitante, oppure quando un accusato è solo coautore in un reato minore o marginale rispetto agli altri maggiormente aggravati (Rep. 1980 pag. 371 ss., 1997 n. 93), oppure quando rispetto all’accusato una parte delle imputazioni sono oggetto di non luogo a procedere (decisioni 15 dicembre 1993 in re E.O., Giar 982.93.1; 3 luglio 1997 in re I.K., Giar 119.93.16 = Rep. 130 [1997] n. 93). E' quanto in sostanza disposto dagli art. 35 e 36 CPP (che hanno ripreso i previgenti art. 10 e 11 CPP/1941), che proclamano il principio della congiunzione personale e fattuale, consentendo trattazione separata di " cause " di per sé connesse, " per motivi di opportunità " e " purché ciò non pregiudichi i diritti degli altri accusati ". Il magistrato competente (il Procuratore pubblico nella fase predibattimentale, essendo riservato gravame in questa sede) può allora " in via eccezionale " procedere alla disgiunzione, con decisione diretta " limitata dal pregiudizio che essa può comportare per altri accusati " (Rapporto 8 novembre 1994 della Commissione speciale del Gran Consiglio per l'esame del Codice di procedura penale, ad art. 35, pag. 24)(come qui, verbatim , decisione 20 febbraio 2002 in re R., inc. Giar 991.98.14, consid. 2 p. 5; integralmente riportato dal reclamante ____________, v. reclamo, cit., pto. 1 p. 2).</w:t>
      </w:r>
    </w:p>
    <w:p>
      <w:r>
        <w:rPr>
          <w:b/>
        </w:rPr>
        <w:t>E. 2</w:t>
      </w:r>
    </w:p>
    <w:p>
      <w:r>
        <w:t>Trattandosi, come visto al considerando precedente, di decisione con importanti riflessi pratici sulla posizione dell’accusato e delle altre parti, essa è impugnabile. Poiché decisione attinente alla fase istruttoria predibattimentale, essa è impugnabile con reclamo al Giudice dell’istruzione e dell’arresto (decisione 6 marzo 2002 in re G. e V., incc. Giar 803.98.4 e 804.98.6, consid. 5 p. 3). Ne discende, allora, che la decisione di disgiunzione deve essere sufficientemente motivata ed indicare i rimedi di diritto, con relativi termini per proporli (art.</w:t>
      </w:r>
    </w:p>
    <w:p>
      <w:r>
        <w:rPr>
          <w:b/>
        </w:rPr>
        <w:t>E. 6</w:t>
      </w:r>
    </w:p>
    <w:p>
      <w:r>
        <w:t>a)        Resta da vedere se, oltre che inopportuna, la disgiunzione non sia addirittura dannosa, o se invece risponda a esigenze di opportunità per ____________. È ciò che la legge intende, quando afferma che “il magistrato competente può, per motivi di opportunità, e purché ciò non pregiudichi i diritti degli altri accusati, ordinare che le cause connesse siano trattate separatamente” (art. 35 cpv. 2 CPP): devono, in altre parole, essere soddisfatte condizioni positive (motivi di opportunità a favore di almeno un accusato) e condizioni negative (nessun pregiudizio per gli altri accusati). b)        Va preventivamente rilevato – nell’ottica del paventato pregiudizio per gli altri accusati – che dopo la disgiunzione, le parti (in particolare, ogni singolo accusato) non hanno più la possibilità di controllare la gestione formale dell’incarto altrui. Viene allora effettivamente a crearsi la possibilità che uno dei due incarti resti aperto sine die , come temono entrambi i reclamanti. Se ciò accadesse, ne potrebbero scaturire gravi danni sia per ____________, sia per la Banca ____________: l’accusato ____________ teme principalmente che egli possa essere portato a giudizio con il (preteso) correo ____________ ingiudicato, ciò che potrebbe condizionare le deposizioni di quest’ultimo in considerazione della “ambiguità della sua posizione di prevenuto che da una parte deporrebbe di fronte ad una corte che giudica quei fatti, ma senza poterlo condannare o assolvere, e dall’altra sa che la sua sorte dipenderà dal futuro giudizio di una delle parti processuali, il Procuratore pubblico, al quale la versione dei fatti fornita in seconda battuta fa evidentemente comodo” (reclamo ____________, cit., pto. 3 p. 4), mentre la Banca ____________ sottolinea come potenzialmente assai dannosa la prospettiva che un suo eventuale atto d’accusa privato contro ____________ – seppur accolto dalla competente autorità giudiziaria – possa non portare a giudizio entrambi gli accusati contemporaneamente (v. reclamo ____________, cit., pto.</w:t>
      </w:r>
    </w:p>
    <w:p>
      <w:r>
        <w:rPr>
          <w:b/>
        </w:rPr>
        <w:t>E. 11</w:t>
      </w:r>
    </w:p>
    <w:p>
      <w:r>
        <w:t>p. 4). Inoltre, pur dando per scontata la buona fede del Procuratore Pubblico quando assicura di voler emanare le proprie decisioni di “merito” contemporaneamente per entrambi gli accusati (v. supra , consid. H, con rinvii), non appare per nulla convincente doversi accontentarsi della sua parola. Può accadere l’imprevisto – ad esempio, un nuovo fatto che costringa ad eventuali approfondimenti solo nei confronti di uno dei due coaccusati –: in tal caso, il Procuratore Pubblico si troverebbe a non poter più mantenere la propria promessa, nemmeno se lo volesse. c)         Si tratta, a non dubitarne, di inconvenienti di peso, neppure controbilanciati da beneficio alcuno per nessuna delle parti. In particolare, con riferimento a ____________, non si ravvisano quelle condizioni di opportunità che, sulla scorta della giurisprudenza schizzata sopra (consid. 1), permettano di affermare che una contrapposizione degli interessi di tutte le parti in gioco debba far prevalere l’eccezione sulla regola. La mera chiusura dell’istruttoria fa infatti comunque nascere, per il Procuratore Pubblico, l’obbligo di decidere entro trenta giorni quale destino intenda riservare ai due accusati: messa in stato d’accusa, oppure abbandono. Tale suo obbligo non viene in alcun modo influenzato da un’eventuale disgiunzione dei due procedimenti: se rispetta la promessa di voler decidere contemporaneamente per entrambi gli accusati, e procede dunque a chiudere in parallelo entrambe le istruttorie, dovrà esprimersi in ogni caso entro il medesimo termine di trenta giorni, con o senza disgiunzione. Pertanto, e contrariamente a quanto afferma apoditticamente ____________ (v. sue osservazioni al reclamo di ____________, cit., ad 2 p. 2), l’esplicita disgiunzione del procedimento che lo riguarda da quello contro ____________ non è né un atto dovuto, né tantomeno un atto necessario. 7. In conclusione, atteso che la decisione impugnata è di per sé superflua, e comporta per le parti unicamente pregiudizi, nessuno avendo saputo evidenziare un solo motivo che la facesse apparire opportuna, i reclami inoltrati da ____________ e dalla Banca ____________ meritano accoglimento, ciò che avviene con la presente decisione definitiva e con conseguenza di tassa e spese a carico del coaccusato ____________, soccombente. Essendosi quest’ultimo esplicitamente opposto ai reclami, sposando la tesi della pubblica accusa poi smentita, vanno poste a suo carico pure le ripetibili protestate dai reclamanti. ____________, chiamata ad osservare ai reclami poiché la decisione unica del Procuratore Pubblico toccava anche la sua posizione, si è rimessa al giudizio di questo Ufficio, a patto che un eventuale accoglimento dei reclami non le fosse di pregiudizio. Una siffatta presa di posizione, in concreto indifferente all’esito dei gravami, non merita il riconoscimento delle protestate ripetibili. 8. Va rammentato che la decisione qui annullata, diversamente da quanto prevedeva la decisione 3 aprile 2002 annullata da questo giudice con la citata decisione 15 aprile 2002, dispone unicamente la disgiunzione dei vari procedimenti, ma non più la contestuale chiusura di tutti gli incarti. Pertanto, la chiusura dovrà comunque essere ordinata separatamente. Va infine precisato, per definitiva chiarezza, che sebbene i reclamanti abbiano formalmente chiesto l’annullamento in toto della decisione impugnata, hanno entrambi segnalato, in sede di motivazione dei loro gravami, che lo scopo perseguito con le loro impugnative era soprattutto di impedire la disgiunzione degli incarti riguardanti ____________ e ____________, lasciando trasparire – in termini più o meno espliciti – che avrebbero anche accettato la disgiunzione da questi due degli altri incarti riguardanti ____________, ____________ e ____________ (v. reclamo ____________, cit., pto. 2 p. 3; reclamo Banca ____________, cit., pto. 6 p. 2). Nulla osta, allora, a che la decisione impugnata venga annullata, limitatamente alla disgiunzione dei due incarti principali. *   *   * Per i quali motivi richiamate le norme di legge menzionate ed in applicazione degli artt. 280 ss. CPP d e c i d 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