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INC.2001.2302 vom 18. September 2001</w:t>
      </w:r>
    </w:p>
    <w:p>
      <w:r>
        <w:t>TI Tribunale d'appello, 2001-09-18, IT</w:t>
      </w:r>
    </w:p>
    <w:p>
      <w:r>
        <w:rPr>
          <w:b/>
        </w:rPr>
        <w:t xml:space="preserve">Quelle: </w:t>
      </w:r>
      <w:r>
        <w:t>https://mcp.opencaselaw.ch/entscheid/ti_gerichte_INC.2001.2302</w:t>
      </w:r>
    </w:p>
    <w:p>
      <w:r>
        <w:t>FR: TI_GERICHTE INC.2001.2302 du 18 septembre 2001</w:t>
      </w:r>
    </w:p>
    <w:p>
      <w:r>
        <w:t>IT: TI_GERICHTE INC.2001.2302 del 18 settembre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18.09.2001 INC.2001.2302 Tessin Il Giudice dell'istruzione e dell'arresto 18.09.2001 INC.2001.2302 Ticino Il Giudice dell'istruzione e dell'arresto 18.09.2001 INC.2001.2302</w:t>
      </w:r>
    </w:p>
    <w:p>
      <w:r>
        <w:t>Sentenza o decisione senza scheda</w:t>
      </w:r>
    </w:p>
    <w:p>
      <w:r>
        <w:t>N. 23.2001.2 M                                                          Lugano, 18 settembre 2001 IL GIUDICE DELL'ISTRUZIONE E DELL'ARRESTO DELLA REPUBBLICA E CANTONE DEL TICINO __________ sedente per statuire sul reclamo inoltrato in data 19 gennaio 2001 da __________ (difeso dall’avv. dott. __________) avverso il sequestro 11 gennaio 2001 di un contratto e del pacchetto azionario della società __________ SA; preso atto che il magistrato inquirente, con decisione 22 maggio 2001, ha disposto il dissequestro di quanto in oggetto; ritenuto, allora, che il reclamo in questione è divenuto privo d’oggetto, ciò che può essere constatato con la presente decisione, esente da tassa e spese di giustizia, e senza attribuzione di ripetibili (il sequestro come tale essendo inizialmente giustificato e revocato dal magistrato dopo le verifiche del caso); decide: 1. Il reclamo è stralciato dai ruoli in quanto divenuto privo di oggetto. 2. Non si prelevano tassa né spese giudiziarie, e non vengono attribuite ripetibili. 3. Contro la presente decisione è dato il rimedio del ricorso alla Camera dei ricorsi penali del Tribunale di appello entro 10 (dieci) giorni dall’intimazione. 4. Intimazione: - avv. dott. __________, per sé e per l’accusato __________; - avv. __________, per sé e per l’accusato __________; - Procuratore Pubblico avv. __________.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