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INC.2000.65902 vom 29. Oktober 2001</w:t>
      </w:r>
    </w:p>
    <w:p>
      <w:r>
        <w:t>TI Tribunale d'appello, 2001-10-29, IT</w:t>
      </w:r>
    </w:p>
    <w:p>
      <w:r>
        <w:rPr>
          <w:b/>
        </w:rPr>
        <w:t xml:space="preserve">Quelle: </w:t>
      </w:r>
      <w:r>
        <w:t>https://mcp.opencaselaw.ch/entscheid/ti_gerichte_INC.2000.65902</w:t>
      </w:r>
    </w:p>
    <w:p>
      <w:r>
        <w:t>FR: TI_GERICHTE INC.2000.65902 du 29 octobre 2001</w:t>
      </w:r>
    </w:p>
    <w:p>
      <w:r>
        <w:t>IT: TI_GERICHTE INC.2000.65902 del 29 ottobre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Il Giudice dell'istruzione e dell'arresto 29.10.2001 INC.2000.65902 Tessin Il Giudice dell'istruzione e dell'arresto 29.10.2001 INC.2000.65902 Ticino Il Giudice dell'istruzione e dell'arresto 29.10.2001 INC.2000.65902</w:t>
      </w:r>
    </w:p>
    <w:p>
      <w:r>
        <w:t>Sentenza o decisione senza scheda</w:t>
      </w:r>
    </w:p>
    <w:p>
      <w:r>
        <w:t>N. 659.2000.2 M                                                        Lugano, 29 ottobre 2001 IL GIUDICE DELL'ISTRUZIONE E DELL'ARRESTO DELLA REPUBBLICA E CANTONE DEL TICINO __________ sedente per statuire sul ricorso inoltrato in data 5/6 settembre 2001 da __________ ,            __________ (patrocinata dall’avv. __________ avverso il rifiuto del Procuratore Generale avv. __________ di accogliere l’istanza di dissequestro 30 gennaio 2001; preso atto che nelle more del reclamo, il magistrato inquirente ha accolto l’istanza; di conseguenza la reclamante ha ritirato il proprio gravame con scritto 14 settembre 2001, ciò che deve essere constatato con la presente decisione, definitiva ed esente da tassa e spese di giudizio. L’esito sostanzialmente favorevole del reclamo esige attribuzione di ripetibili commisurate al (ridotto) impegno che la stesura del reclamo ha comportato; in applicazione degli artt. 9 cpv. 6 e 280 ss. CPP decide: 1. Il reclamo è stralciato dai ruoli a seguito del suo ritiro. 2. Non si prelevano tassa né spese giudiziarie. Lo Stato del Cantone Ticino verserà alla reclamante l’importo di frs. 100.— a titolo di reclamate ripetibili. 3. Contro la presente decisione è dato il rimedio del ricorso presso la Camera dei ricorsi penali del Tribunale di appello del Cantone Ticino entro 10 (dieci) giorni dall’intimazione. 4. Intimazione: -    avv. __________, per sé e per la reclamante; -    Procuratore Generale avv. __________. giudice __________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