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INC.2000.64002 vom 18. Dezember 2000</w:t>
      </w:r>
    </w:p>
    <w:p>
      <w:r>
        <w:t>TI Tribunale d'appello, 2000-12-18, IT</w:t>
      </w:r>
    </w:p>
    <w:p>
      <w:r>
        <w:rPr>
          <w:b/>
        </w:rPr>
        <w:t xml:space="preserve">Quelle: </w:t>
      </w:r>
      <w:r>
        <w:t>https://mcp.opencaselaw.ch/entscheid/ti_gerichte_INC.2000.64002</w:t>
      </w:r>
    </w:p>
    <w:p>
      <w:r>
        <w:t>FR: TI_GERICHTE INC.2000.64002 du 18 décembre 2000</w:t>
      </w:r>
    </w:p>
    <w:p>
      <w:r>
        <w:t>IT: TI_GERICHTE INC.2000.64002 del 18 dicembre 2000</w:t>
      </w:r>
    </w:p>
    <w:p>
      <w:pPr>
        <w:pStyle w:val="Heading2"/>
      </w:pPr>
      <w:r>
        <w:t>Regeste</w:t>
      </w:r>
    </w:p>
    <w:p>
      <w:r>
        <w:t>Sentenza o decisione senza scheda</w:t>
      </w:r>
    </w:p>
    <w:p>
      <w:pPr>
        <w:pStyle w:val="Heading2"/>
      </w:pPr>
      <w:r>
        <w:t>Erwägungen</w:t>
      </w:r>
    </w:p>
    <w:p>
      <w:r>
        <w:rPr>
          <w:b/>
        </w:rPr>
        <w:t>E. 1</w:t>
      </w:r>
    </w:p>
    <w:p>
      <w:r>
        <w:t>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Con la verosimiglianza sufficiente a questo stadio del procedimento ed in questa sede, si può con tranquillità concludere per la presenza di indizi di colpevolezza a carico di __________, e relativi a un suo coinvolgimento nei fatti inquisiti, da lui ammesso sia avanti agli inquirenti che in sede dell’istanza qui discussa (v. supra , consid. B).</w:t>
      </w:r>
    </w:p>
    <w:p>
      <w:r>
        <w:rPr>
          <w:b/>
        </w:rPr>
        <w:t>E. 3</w:t>
      </w:r>
    </w:p>
    <w:p>
      <w:r>
        <w:t>Il solo bisogno dell’istruzione al quale si appella il Procuratore Pubblico (v. preavviso negativo, cit., p. 1) consiste nella necessità di sottoporre l’accusato istante ad un secondo verbale di conferma, “ che verrà effettuato non appena in possesso del rapporto di Polizia Giudiziaria ” (ibid.). A tal proposito va rilevato che per l’effettuazione di questo secondo verbale, il magistrato inquirente non necessitava il rapporto preliminare d’inchiesta: questo giudice ha ripetutamente statuito che detto rapporto non rappresenta mezzo di prova a sé stante, ma raccoglie sistematicamente singoli mezzi di prova (segnatamente verbali) acquisiti in corso d’inchiesta, che dovrebbero essere a disposizione del Procuratore Pubblico dal momento stesso della loro effettuazione. Si ribadisce che non è lecito attendere quasi tre settimane dall’ultimo verbale di polizia giudiziaria (l’ultimo risale al 1° dicembre 2000) per indire il verbale conclusivo di conferma, più volte sollecitato dalla difesa (v. osservazioni, cit., pto. 4 p. 2). E più genericamente, la durata dell’inchiesta – visto il numero relativamente esiguo di verbali dell’accusato e gli intervalli temporali fra gli stessi – non testimonia particolare solerzia: in ogni caso, il magistrato inquirente ha omesso di spiegare le ragioni di tale dilazione nel tempo. Restano implicite le esigenze istruttorie che potrebbero derivare da eventuali istanze di complemento, che l’accusato istante si riserva di proporre appena preso conoscenza degli atti (v. osservazioni, cit., p. 5). A ciò vanno ad aggiungersi unicamente i tempi tecnici per arrivare fino alla celebrazione del pubblico dibattimento (chiusura dell’istruttoria formale ed emanazione dell’atto d’accusa). Data l’aleatorietà che tali esigenze rivestono nella concreta fattispecie, non è tuttavia comunque possibile appurare se eventuali ulteriori passi istruttori siano di natura tale da esigere il mantenimento o meno dello stato di detenzione preventiva: l’istanza non può pertanto venire respinta sulla scorta di tale argomento.</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 verbatim DTF 19 gennaio 1999 in re G.S., consid. 5a p. 7-8, con rinvio a DTF 117 Ia 69 consid. 4 e ad altra sentenza di imminente pubblicazione; decisione 19 aprile 2000 in re C.F., inc. GIAR 124.2000.2 consid. 4a p. 5). b)        Oltre che sulle necessità istruttorie già discusse, il Procuratore Pubblico fonda il proprio preavviso negativo sul pericolo di fuga dell’accusato istante, “ cittadino italiano, residente in Italia, ove esercita attività lavorativa. Tutti i suoi legami famigliari sono in Italia, ove vivono i figli e la sua compagna. Egli non ha quindi alcun legame con il territorio svizzero. Motivo per cui vi è il pericolo di fuga in Italia ciò che renderebbe impossibile il prosieguo dell’inchiesta ” (preavviso, cit., p. 1). È senz’altro vero che __________ ha il centro dei propri interessi affettivi e professionali in Italia, e che con la Svizzera egli non ha particolari legami. Tuttavia, questa mera constatazione – di per sé costitutiva di indizio di pericolo di fuga – non deve assurgere ad unico criterio di giudizio: altrimenti, la libertà provvisoria dovrebbe venire negata aprioristicamente ad ogni accusato senza fisso domicilio in territorio svizzero. Questa, ovviamente, non è la ratio legis , come si evince anche dalla dottrina e dalla giurisprudenza riportate supra : ciò che deve apparire patente è la verosimiglianza che l’accusato, qualora liberato, intenda sottrarsi al perseguimento penale ed all’esecuzione della pena. Se ciò sia il caso o meno, deve scaturire da un esame globale di tutte le circostanze, e non è astrattamente indiziato dalla presumibile gravità della pena. c)         Nel caso di specie, dall’incarto MP non emergono elementi di giudizio tali da far apparire aprioristicamente __________ quale persona priva di senso morale: egli è professionalmente attivo, ed apparentemente con successo, al punto che è un suo partner di lavoro ad offrire il versamento della cauzione pur di permettergli di tornare a lavorare. Neppure sono noti suoi eventuali precedenti penali. Inoltre, il suo atteggiamento in sede d’inchiesta si è dimostrato ragionevolmente cooperativo, con progressive ammissioni man mano che l’istruttoria avanzava – a dimostrazione, se non necessariamente di compiuta resipiscenza, almeno di acquisita consapevolezza del carattere illecito degli atti commessi. L’offerta di prestazione di cauzione da parte di terzi, in siffatto contesto, assume valenza certa e decisiva: dimostra che anche al di fuori della sua cerchia familiare, __________ ha persone che, conoscendolo bene, ripongono in lui sufficiente fiducia da spingerli a depositare una cifra non indifferente, nella consapevolezza che tale cifra andrebbe persa qualora l’accusato decidesse di sottrarsi alla giustizia svizzera, convinti come sono che ciò non accadrà. Inoltre, l’eventualità che __________ possa sottrarsi al procedimento penale in corso qui, seppur teoricamente possibile, sarebbe per lui di ben effimero beneficio, conto tenuto del fatto che in Italia si troverebbe comunque, con tutta verosimiglianza, confrontato con le pretese risarcitorie delle parti lese, ossia gli istituti che hanno emesso le carte di credito abusivamente utilizzate da lui. d)        Tutto sommato, in conclusione, non sembra potersi affermare che una sua costante partecipazione all’istruttoria formale, rispettivamente la sua presenza al pubblico dibattimento, appaiano sin d’ora messe in forse dalla concessione della libertà provvisoria.</w:t>
      </w:r>
    </w:p>
    <w:p>
      <w:r>
        <w:rPr>
          <w:b/>
        </w:rPr>
        <w:t>E. 5</w:t>
      </w:r>
    </w:p>
    <w:p>
      <w:r>
        <w:t>Non avendone il Procuratore Pubblico fatto menzione a suffragio del proprio preavviso negativo, non vi è ragione di affrontare il discorso del pericolo di recidiva.</w:t>
      </w:r>
    </w:p>
    <w:p>
      <w:r>
        <w:rPr>
          <w:b/>
        </w:rPr>
        <w:t>E. 6</w:t>
      </w:r>
    </w:p>
    <w:p>
      <w:r>
        <w:t>In conclusione, l’istanza in discussione merita accoglimento, l’unico motivo di opposizione sollevato dal Procuratore Pubblico – il pericolo di fuga – non essendo stato da lui reso sufficientemente plausibile. L’accoglimento dell’istanza avviene con la presente decisione impugnabile entro 10 (dieci) giorni alla Camera dei ricorsi penali del tribunale di appello (art. 284 cpv. 1 lit. a CPP) e senza conseguenze di tassa e spese. Per ulteriormente mitigare il residuo pericolo di fuga, appare nondimeno opportuna la fissazione di una cauzione, di ammontare commisurato alla natura e alle conseguenze del reato.</w:t>
      </w:r>
    </w:p>
    <w:p>
      <w:r>
        <w:rPr>
          <w:b/>
        </w:rPr>
        <w:t>E. 7</w:t>
      </w:r>
    </w:p>
    <w:p>
      <w:r>
        <w:t>Pro futuro , il magistrato inquirente viene invitato a rispettare i dettami di cui all’art. 195 CPP, evitando di produrre a questo giudice un incarto privo di numerazione nonché dell’usuale elenco atti. *   *   * Per i quali motivi, visti gli artt. 95 ss., 96, 107 s., 110, 279 ss. e 284 cpv. 1 lit. a CPP d e c i d e : 1. L’istanza di libertà provvisoria inoltrata in data 7/11 dicembre 2000 da __________ è accolta. §   L’accusato istante è posto in libertà provvisoria previo deposito della cauzione pari a Sfr. 30'000.— (franchi svizzeri trentamila) presso il Ministero Pubblico. 2. Non si percepiscono né tassa né spese giudiziarie. 3. Contro la presente decisione è dato il rimedio del ricorso alla Camera dei ricorsi penali del Tribunale di appello entro 10 (dieci) giorni dall’intimazione. 4. Intimazione: -    avv. __________, per sé e per l’accusato __________, con copia del preavviso negativo del magistrato inquirente; - Procuratore Pubblico avv. __________, con copia delle osservazioni dall’accusato istante, con l’inc. MP 4885/2000/ES di ritorno e per immediata esecuzione ; - SEPEM; - direzione PCT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