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INC.2000.53002 vom 25. Oktober 2000</w:t>
      </w:r>
    </w:p>
    <w:p>
      <w:r>
        <w:t>TI Tribunale d'appello, 2000-10-25, IT</w:t>
      </w:r>
    </w:p>
    <w:p>
      <w:r>
        <w:rPr>
          <w:b/>
        </w:rPr>
        <w:t xml:space="preserve">Quelle: </w:t>
      </w:r>
      <w:r>
        <w:t>https://mcp.opencaselaw.ch/entscheid/ti_gerichte_INC.2000.53002</w:t>
      </w:r>
    </w:p>
    <w:p>
      <w:r>
        <w:t>FR: TI_GERICHTE INC.2000.53002 du 25 octobre 2000</w:t>
      </w:r>
    </w:p>
    <w:p>
      <w:r>
        <w:t>IT: TI_GERICHTE INC.2000.53002 del 25 ottobre 2000</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 e relativi ad un suo coinvolgimento nei fatti inquisiti, da lui peraltro ammesso sia avanti agli inquirenti che in sede dell’istanza qui discussa (v. supra , consid. C; istanza, cit., pto. 3 p. 2-3; osservazioni, cit., pto. 2 p. 2).</w:t>
      </w:r>
    </w:p>
    <w:p>
      <w:r>
        <w:rPr>
          <w:b/>
        </w:rPr>
        <w:t>E. 3</w:t>
      </w:r>
    </w:p>
    <w:p>
      <w:r>
        <w:t>a)        A torto l’accusato istante ritiene che in ragione della sua cooperazione con gli inquirenti non sussistano più necessità istruttorie: come giustamente sottolinea il magistrato inquirente (v. preavviso negativo, cit., p. 2), non solo le ammissioni dell’istante abbisognano di essere “vestite” (art. 120 CPP), ma pure il ruolo avuto dai correi (almeno in parte individuati, ma sempre ancora latitanti) necessita chiarimento. b)        Va anche sottolineato che proprio in punto al grado di coinvolgimento nei fatti dell’accusato istante, fino ad oggi vi sono agli atti unicamente le versioni di lui e del coaccusato __________: è indispensabile che gli inquirenti si garantiscano la possibilità di completare quelle informazioni con altre – segnatamente l’audizione dei correi, ma anche un approfondito studio delle carte statunitensi – senza che __________ abbia la possibilità di influire in un qualsiasi modo sul loro contenuto. E, senza con ciò voler in alcun modo mettere in dubbio il desiderio di sincerità espresso dall’accusato, gli inquirenti non possono accontentarsi delle sue garanzie verbali che si asterrà dal contattare le persone indicategli. c)         Né si può, a questo stadio del procedimento, incolpare il Procuratore Pubblico per non fondare la propria richiesta “ su fatti precisi, in particolare su un’attività dell’imputato volta a compromettere la corretta raccolta delle prove ” (osservazioni, cit., pto. 3 p. 2): l’accusato istante è stato posto in carcere preventivo proprio all’inizio delle indagini, senza che abbia avuto la possibilità di attuare mosse suscettibili di dimostrare la sua eventuale intenzione di inquinare le prove. Inoltre, l’oggettiva gravità dei fatti discussi e la prevedibile entità della pena detentiva che lo attende costituiscono comunque, almeno in astratto, importante stimolo per una presa di contatto con i correi al fine di avvertirli e di migliorare la propria posizione processuale, e giustifica (più che in un’inchiesta per reati di minore portata) che gli inquirenti non intendano correre rischio alcuno di collusione.</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e ad altra sentenza di imminente pubblicazione). b)        Nel caso di specie è incontestato che l’accusato istante è cittadino svizzero con residenza in loco . D’altro canto, come giustamente rileva il Procuratore Pubblico (v. preavviso negativo, cit., p. 3) egli svolge effettivamente un’attività che lo porta spesso e volentieri all’estero: la possibilità, anzi l’inclinazione al viaggio è dimostrata (v. verbale di polizia 19 ottobre 2000, ore 14.45, p. 2), e non relativizzata da legami familiari particolarmente stretti (come possono essere quelli attinenti una propria famiglia). Inoltre, senza con ciò voler aprioristicamente negare che egli sia potuto maturare nel frattempo, è parimenti accertato che __________, quando venne citato in aula in occasione di un precedente procedimento penale, si rese volutamente latitante (ibid.). Tutto ciò, unito alla prospettiva quanto mai concreta di una lunga pena detentiva da espiare, potrebbe effettivamente fargli apparire una fuga all’estero come un’allettante alternativa. c)         In conclusione, anche se forse – preso per sé – il pericolo di fuga non basterebbe per giustificare il mantenimento della carcerazione preventiva, combinato con l’effettivo pericolo di collusione esso rafforza la legittimità della preventiva privazione della libertà cui è e rimane sottoposto __________.</w:t>
      </w:r>
    </w:p>
    <w:p>
      <w:r>
        <w:rPr>
          <w:b/>
        </w:rPr>
        <w:t>E. 5</w:t>
      </w:r>
    </w:p>
    <w:p>
      <w:r>
        <w:t>a)        Considerata l’estensione e la gravità oggettiva dei reati commessi dall’accusato istante e dai correi, e vista la necessità di attingere primariamente a documentazione ed informazioni raccolte da autorità estere, si può ben dire che l’inchiesta di cui è oggetto è da annoverare fra quelle certamente complesse, e di corrispondente durata. L’istruttoria, in ogni caso, sembra procedere a ritmo sufficientemente celere, in consonanza con i dettami di legge. Il carcere preventivo sofferto e prospettabile appare allora ampiamente rispettoso del principio di proporzionalità, con riferimento sia alla presumibile (lunga) pena detentiva, sia alla presumibile durata dell’evasione delle necessità istruttorie ancora incombenti. b)        Né tale proporzionalità appare scalfitta dalla motivazione principale che ha manifestamente spinto l’accusato istante a formulare la presente richiesta: quella di riprendere in mano, almeno temporaneamente, la gestione del proprio negozio di articoli sub (v. istanza, cit., pto. 8 p. 7). Sarà semmai compito del patrocinatore dell’accusato istante (o di chi per esso) impostare una nuova gestione del negozio, che tenga anche conto del fatto che un ritorno di __________ alla guida del negozio appare, in tempi medio-lunghi, assolutamente improbabile. c)         Resta sottinteso l’obbligo, per il magistrato inquirente, di trattare con priorità i casi in cui l’accusato è in detenzione (art. 102 cpv. 1 e 176 cpv. 3 CPP).</w:t>
      </w:r>
    </w:p>
    <w:p>
      <w:r>
        <w:rPr>
          <w:b/>
        </w:rPr>
        <w:t>E. 6</w:t>
      </w:r>
    </w:p>
    <w:p>
      <w:r>
        <w:t>In conclusione, l’istanza in discussione dev’essere respinta, con la presente decisione impugnabile entro dieci giorni alla Camera dei ricorsi penali del Tribunale di appello (art. 284 cpv. 1 lit. a CPP), e senza conseguenza di tassa e spese. Per i quali motivi, visti gli artt. 95 ss., 107 s., 279 ss. e 284 cpv. 1 lit. a CPP d e c i d e : 1. L’istanza di libertà provvisoria inoltrata in data 19/20 ottobre 2000 da __________ è respinta. 2. Non si percepiscono né tassa né spese giudiziarie. 3. Contro la presente decisione è dato il rimedio del ricorso alla Camera dei ricorsi penali del Tribunale di appello entro 10 (dieci) giorni dall’intimazione. 4. Intimazione: -      avv. __________, per sé e per l’accusato __________, con copia del preavviso negativo del magistrato inquirente; -      Procuratore Pubblico avv. __________, con copia delle osservazioni dell’accusato istante e con l’inc. MP 3820/2000/GA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