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INC.2000.52102 vom 23. Februar 2001</w:t>
      </w:r>
    </w:p>
    <w:p>
      <w:r>
        <w:t>TI Tribunale d'appello, 2001-02-23, IT</w:t>
      </w:r>
    </w:p>
    <w:p>
      <w:r>
        <w:rPr>
          <w:b/>
        </w:rPr>
        <w:t xml:space="preserve">Quelle: </w:t>
      </w:r>
      <w:r>
        <w:t>https://mcp.opencaselaw.ch/entscheid/ti_gerichte_INC.2000.52102</w:t>
      </w:r>
    </w:p>
    <w:p>
      <w:r>
        <w:t>FR: TI_GERICHTE INC.2000.52102 du 23 février 2001</w:t>
      </w:r>
    </w:p>
    <w:p>
      <w:r>
        <w:t>IT: TI_GERICHTE INC.2000.52102 del 23 febbraio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23.02.2001 INC.2000.52102 Tessin Il Giudice dell'istruzione e dell'arresto 23.02.2001 INC.2000.52102 Ticino Il Giudice dell'istruzione e dell'arresto 23.02.2001 INC.2000.52102</w:t>
      </w:r>
    </w:p>
    <w:p>
      <w:r>
        <w:t>Sentenza o decisione senza scheda</w:t>
      </w:r>
    </w:p>
    <w:p>
      <w:r>
        <w:t>N. 521.2000.2 M                                                        Lugano, 23 febbraio 2001 IL GIUDICE DELL'ISTRUZIONE E DELL'ARRESTO DELLA REPUBBLICA E CANTONE DEL TICINO __________ sedente per statuire sull’istanza 12 febbraio 2001 inoltrata dal Procuratore Pubblico avv. __________ e volta ad ottenere la proroga di due mesi, ovvero sino al 28 aprile 2001 compreso, della carcerazione preventiva cui è astretto __________ , (difeso d’ufficio dall’avv. __________) nel procedimento penale a suo carico per titolo di appropriazione indebita ed amministrazione infedele (inc. MP __________); preso atto che l’accusato è stato posto in libertà provvisoria dal magistrato inquirente in data 20 febbraio 2001, come da quest’ultimo confermato verbalmente in data 23 febbraio 2001; discendendo da quanto precede che l’istanza menzionata in epigrafe è divenuta priva d’oggetto, ciò che va constatato con la presente decisione, esente da tassa e spese; richiamati gli artt. 103, 280 ss. e 284 CPP decide: 1. L’istanza 12 febbraio 2001 di proroga del carcere preventivo cui è astretto __________ è stralciata dai ruoli siccome divenuta priva d’oggetto. 2. Non si percepiscono né tassa né spese giudiziarie. 3. Contro la presente decisione è data facoltà di ricorso alla Camera dei ricorsi penali entro 10 (dieci) giorni dall’intimazione. 4. Intimazione: -      avv. __________, per sé e per l’accusato __________; - Procuratore Pubblico avv. __________, con l’inc. MP __________ di ritorno.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